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44"/>
          <w:szCs w:val="44"/>
        </w:rPr>
      </w:pPr>
      <w:r>
        <w:rPr>
          <w:rFonts w:hint="eastAsia" w:ascii="宋体" w:hAnsi="宋体" w:eastAsia="宋体" w:cs="宋体"/>
          <w:b/>
          <w:bCs w:val="0"/>
          <w:sz w:val="44"/>
          <w:szCs w:val="44"/>
          <w:lang w:eastAsia="zh-CN"/>
        </w:rPr>
        <w:t>丽水市农林科学研究院</w:t>
      </w:r>
      <w:r>
        <w:rPr>
          <w:rFonts w:hint="eastAsia" w:ascii="宋体" w:hAnsi="宋体" w:eastAsia="宋体" w:cs="宋体"/>
          <w:b/>
          <w:bCs w:val="0"/>
          <w:sz w:val="44"/>
          <w:szCs w:val="44"/>
          <w:lang w:val="en-US" w:eastAsia="zh-CN"/>
        </w:rPr>
        <w:t>2021年度</w:t>
      </w:r>
      <w:r>
        <w:rPr>
          <w:rFonts w:hint="eastAsia" w:ascii="宋体" w:hAnsi="宋体" w:eastAsia="宋体" w:cs="宋体"/>
          <w:b/>
          <w:bCs w:val="0"/>
          <w:sz w:val="44"/>
          <w:szCs w:val="44"/>
        </w:rPr>
        <w:t>整体支出</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lang w:eastAsia="zh-CN"/>
        </w:rPr>
        <w:t>绩效评价</w:t>
      </w:r>
      <w:r>
        <w:rPr>
          <w:rFonts w:hint="eastAsia" w:ascii="宋体" w:hAnsi="宋体" w:eastAsia="宋体" w:cs="宋体"/>
          <w:b/>
          <w:bCs w:val="0"/>
          <w:sz w:val="44"/>
          <w:szCs w:val="44"/>
        </w:rPr>
        <w:t>报告</w:t>
      </w:r>
    </w:p>
    <w:p>
      <w:pPr>
        <w:jc w:val="center"/>
        <w:rPr>
          <w:rFonts w:hint="eastAsia" w:ascii="宋体" w:hAnsi="宋体" w:eastAsia="宋体" w:cs="宋体"/>
          <w:b/>
          <w:bCs w:val="0"/>
          <w:sz w:val="44"/>
          <w:szCs w:val="44"/>
        </w:rPr>
      </w:pPr>
    </w:p>
    <w:p>
      <w:pPr>
        <w:keepNext w:val="0"/>
        <w:keepLines w:val="0"/>
        <w:pageBreakBefore w:val="0"/>
        <w:widowControl w:val="0"/>
        <w:kinsoku/>
        <w:wordWrap/>
        <w:overflowPunct/>
        <w:topLinePunct w:val="0"/>
        <w:autoSpaceDN/>
        <w:bidi w:val="0"/>
        <w:adjustRightInd/>
        <w:spacing w:line="560" w:lineRule="exact"/>
        <w:ind w:firstLine="0" w:firstLineChars="0"/>
        <w:textAlignment w:val="auto"/>
        <w:rPr>
          <w:rFonts w:hint="eastAsia" w:ascii="黑体" w:hAnsi="黑体" w:eastAsia="黑体" w:cs="黑体"/>
          <w:sz w:val="32"/>
          <w:szCs w:val="32"/>
        </w:rPr>
      </w:pPr>
      <w:r>
        <w:rPr>
          <w:rFonts w:hint="eastAsia" w:ascii="黑体" w:eastAsia="黑体"/>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一、部门基本概况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丽水市农林科学研究院</w:t>
      </w:r>
      <w:r>
        <w:rPr>
          <w:rFonts w:hint="eastAsia" w:ascii="仿宋_GB2312" w:hAnsi="仿宋_GB2312" w:eastAsia="仿宋_GB2312" w:cs="仿宋_GB2312"/>
          <w:sz w:val="32"/>
          <w:szCs w:val="32"/>
        </w:rPr>
        <w:t xml:space="preserve">为市政府直属纯公益类事业单位，机构规格相当于正县处级。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主要职责：</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承担全市农林业战略性、前瞻性和应用性项目研发和成果转化工作，组织全市农林业科技协同创新，支撑服务农林业发展的科技需求。</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承担全市粮油、食用菌、蔬菜、水干果、茶叶、中药材、畜牧、笋竹、木本油料等品种引进、良种选育、生态高效种养技术、设施农业及农林产品贮藏、保鲜、加工等领域的研发工作。</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开展森林生态环境功能与修复、野生动植物保护与利用、种苗花卉、森林培育、生态公益林和森林景观建设等领域的研发工作。</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开展农林业标准化、农林业循环经济和产业化发展的研究。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开展农林业科技创新与成果熟化，建立科技示范基地，开展成果转化与科技服务工作。</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建设维护丽水农科教旅一体化（松阳）基地等院属科研基地和科技创新平台。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完</w:t>
      </w:r>
      <w:r>
        <w:rPr>
          <w:rFonts w:hint="eastAsia" w:ascii="仿宋_GB2312" w:hAnsi="仿宋_GB2312" w:eastAsia="仿宋_GB2312" w:cs="仿宋_GB2312"/>
          <w:sz w:val="32"/>
          <w:szCs w:val="32"/>
        </w:rPr>
        <w:t>成市委、市政府交办的其他任务。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（二）丽水市农林科学研究院</w:t>
      </w:r>
      <w:r>
        <w:rPr>
          <w:rFonts w:hint="eastAsia" w:ascii="仿宋_GB2312" w:hAnsi="仿宋_GB2312" w:eastAsia="仿宋_GB2312" w:cs="仿宋_GB2312"/>
          <w:color w:val="auto"/>
          <w:sz w:val="32"/>
          <w:szCs w:val="32"/>
        </w:rPr>
        <w:t>内设 12个职能处室：分别是办公室、科技管理与地方合作处、计财与后勤保障处、农作物研究所、现代林业研究所、食用菌研究所、竹类与特色经济林果研究所、茶叶研究所、中药材研究所、农林产品加工研究所、野生动物保护与特色养殖研究所、直属机关党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i w:val="0"/>
          <w:caps w:val="0"/>
          <w:color w:val="171A1D"/>
          <w:spacing w:val="0"/>
          <w:sz w:val="32"/>
          <w:szCs w:val="32"/>
          <w:shd w:val="clear" w:color="auto" w:fill="FFFFFF"/>
        </w:rPr>
        <w:t xml:space="preserve">院人员编制96人。设院长1名（正处长级），副院长5人（副处长级），内设机构科级领导职数15人。2021年末实有在职人员93人，分别为管理岗6人（正处2 人、副处2 人、副科 2人）、专业技术岗 </w:t>
      </w:r>
      <w:r>
        <w:rPr>
          <w:rFonts w:hint="eastAsia" w:ascii="仿宋_GB2312" w:hAnsi="仿宋_GB2312" w:eastAsia="仿宋_GB2312" w:cs="仿宋_GB2312"/>
          <w:i w:val="0"/>
          <w:caps w:val="0"/>
          <w:color w:val="171A1D"/>
          <w:spacing w:val="0"/>
          <w:sz w:val="32"/>
          <w:szCs w:val="32"/>
          <w:shd w:val="clear" w:color="auto" w:fill="FFFFFF"/>
          <w:lang w:val="en-US" w:eastAsia="zh-CN"/>
        </w:rPr>
        <w:t>87</w:t>
      </w:r>
      <w:r>
        <w:rPr>
          <w:rFonts w:hint="eastAsia" w:ascii="仿宋_GB2312" w:hAnsi="仿宋_GB2312" w:eastAsia="仿宋_GB2312" w:cs="仿宋_GB2312"/>
          <w:i w:val="0"/>
          <w:caps w:val="0"/>
          <w:color w:val="171A1D"/>
          <w:spacing w:val="0"/>
          <w:sz w:val="32"/>
          <w:szCs w:val="32"/>
          <w:shd w:val="clear" w:color="auto" w:fill="FFFFFF"/>
        </w:rPr>
        <w:t>人（正高 13 人，副高 30人，中级 34 人，初级 10 人）</w:t>
      </w:r>
    </w:p>
    <w:p>
      <w:pPr>
        <w:keepNext w:val="0"/>
        <w:keepLines w:val="0"/>
        <w:pageBreakBefore w:val="0"/>
        <w:widowControl w:val="0"/>
        <w:kinsoku/>
        <w:wordWrap/>
        <w:overflowPunct/>
        <w:topLinePunct w:val="0"/>
        <w:autoSpaceDE w:val="0"/>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sz w:val="32"/>
          <w:szCs w:val="32"/>
        </w:rPr>
        <w:t>2021年度财政收支情况：2021年度总收入5557.50万元,分别为财政拨款收入3867.42万元、事业收入235.57万元、</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收入84万元、上年结转和结余1370.51万元；2021年度总支出5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51.41万元，分别为人员经费支出2859.76万元，公用经费支出328.72万元，</w:t>
      </w:r>
      <w:r>
        <w:rPr>
          <w:rFonts w:hint="eastAsia" w:ascii="仿宋_GB2312" w:hAnsi="仿宋_GB2312" w:eastAsia="仿宋_GB2312" w:cs="仿宋_GB2312"/>
          <w:color w:val="auto"/>
          <w:sz w:val="32"/>
          <w:szCs w:val="32"/>
        </w:rPr>
        <w:t>丽水农</w:t>
      </w:r>
      <w:r>
        <w:rPr>
          <w:rFonts w:hint="eastAsia" w:ascii="仿宋_GB2312" w:hAnsi="仿宋_GB2312" w:eastAsia="仿宋_GB2312" w:cs="仿宋_GB2312"/>
          <w:sz w:val="32"/>
          <w:szCs w:val="32"/>
        </w:rPr>
        <w:t>科教旅一体化基地建设支出285.37万元，松阳食用菌产业转型升级</w:t>
      </w:r>
      <w:bookmarkStart w:id="0" w:name="_GoBack"/>
      <w:bookmarkEnd w:id="0"/>
      <w:r>
        <w:rPr>
          <w:rFonts w:hint="eastAsia" w:ascii="仿宋_GB2312" w:hAnsi="仿宋_GB2312" w:eastAsia="仿宋_GB2312" w:cs="仿宋_GB2312"/>
          <w:sz w:val="32"/>
          <w:szCs w:val="32"/>
        </w:rPr>
        <w:t>项目支出90.58万元，实验仪器设备购置（含912工程）支出104.62万元，技术服务性支出100.02万元，项目研发支出1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82.34万元。</w:t>
      </w:r>
    </w:p>
    <w:p>
      <w:pPr>
        <w:keepNext w:val="0"/>
        <w:keepLines w:val="0"/>
        <w:pageBreakBefore w:val="0"/>
        <w:widowControl w:val="0"/>
        <w:kinsoku/>
        <w:wordWrap/>
        <w:overflowPunct/>
        <w:topLinePunct w:val="0"/>
        <w:autoSpaceDE w:val="0"/>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财务管理制度及执行情况：</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强化</w:t>
      </w:r>
      <w:r>
        <w:rPr>
          <w:rFonts w:hint="eastAsia" w:ascii="仿宋_GB2312" w:hAnsi="仿宋_GB2312" w:eastAsia="仿宋_GB2312" w:cs="仿宋_GB2312"/>
          <w:color w:val="auto"/>
          <w:sz w:val="32"/>
          <w:szCs w:val="32"/>
        </w:rPr>
        <w:t>部门预算</w:t>
      </w:r>
      <w:r>
        <w:rPr>
          <w:rFonts w:hint="eastAsia" w:ascii="仿宋_GB2312" w:hAnsi="仿宋_GB2312" w:eastAsia="仿宋_GB2312" w:cs="仿宋_GB2312"/>
          <w:color w:val="auto"/>
          <w:sz w:val="32"/>
          <w:szCs w:val="32"/>
          <w:lang w:eastAsia="zh-CN"/>
        </w:rPr>
        <w:t>编制。</w:t>
      </w:r>
      <w:r>
        <w:rPr>
          <w:rFonts w:hint="eastAsia" w:ascii="仿宋_GB2312" w:hAnsi="仿宋_GB2312" w:eastAsia="仿宋_GB2312" w:cs="仿宋_GB2312"/>
          <w:color w:val="auto"/>
          <w:sz w:val="32"/>
          <w:szCs w:val="32"/>
        </w:rPr>
        <w:t>科学合理地编制部门预算，实行</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eastAsia="zh-CN"/>
        </w:rPr>
        <w:t>编制，精准</w:t>
      </w:r>
      <w:r>
        <w:rPr>
          <w:rFonts w:hint="eastAsia" w:ascii="仿宋_GB2312" w:hAnsi="仿宋_GB2312" w:eastAsia="仿宋_GB2312" w:cs="仿宋_GB2312"/>
          <w:color w:val="auto"/>
          <w:sz w:val="32"/>
          <w:szCs w:val="32"/>
        </w:rPr>
        <w:t>细化收支项目。</w:t>
      </w:r>
      <w:r>
        <w:rPr>
          <w:rFonts w:hint="eastAsia" w:ascii="仿宋_GB2312" w:hAnsi="仿宋_GB2312" w:eastAsia="仿宋_GB2312" w:cs="仿宋_GB2312"/>
          <w:color w:val="auto"/>
          <w:sz w:val="32"/>
          <w:szCs w:val="32"/>
          <w:lang w:eastAsia="zh-CN"/>
        </w:rPr>
        <w:t>严格根据市本级有关预算编制政策的要求，编制年度部门预算，通过近年来的努力，我院预算资金执行率、资金使用效益取得明显的提高</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从严把控</w:t>
      </w:r>
      <w:r>
        <w:rPr>
          <w:rFonts w:hint="eastAsia" w:ascii="仿宋_GB2312" w:hAnsi="仿宋_GB2312" w:eastAsia="仿宋_GB2312" w:cs="仿宋_GB2312"/>
          <w:color w:val="auto"/>
          <w:sz w:val="32"/>
          <w:szCs w:val="32"/>
        </w:rPr>
        <w:t>财务</w:t>
      </w:r>
      <w:r>
        <w:rPr>
          <w:rFonts w:hint="eastAsia" w:ascii="仿宋_GB2312" w:hAnsi="仿宋_GB2312" w:eastAsia="仿宋_GB2312" w:cs="仿宋_GB2312"/>
          <w:color w:val="auto"/>
          <w:sz w:val="32"/>
          <w:szCs w:val="32"/>
          <w:lang w:eastAsia="zh-CN"/>
        </w:rPr>
        <w:t>报销。一是严格执行</w:t>
      </w:r>
      <w:r>
        <w:rPr>
          <w:rFonts w:hint="eastAsia" w:ascii="仿宋_GB2312" w:hAnsi="仿宋_GB2312" w:eastAsia="仿宋_GB2312" w:cs="仿宋_GB2312"/>
          <w:color w:val="auto"/>
          <w:sz w:val="32"/>
          <w:szCs w:val="32"/>
        </w:rPr>
        <w:t>院财务管理制度及财务报销审批流程</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院</w:t>
      </w:r>
      <w:r>
        <w:rPr>
          <w:rFonts w:hint="eastAsia" w:ascii="仿宋_GB2312" w:hAnsi="仿宋_GB2312" w:eastAsia="仿宋_GB2312" w:cs="仿宋_GB2312"/>
          <w:color w:val="auto"/>
          <w:sz w:val="32"/>
          <w:szCs w:val="32"/>
          <w:lang w:eastAsia="zh-CN"/>
        </w:rPr>
        <w:t>财务管理制度、</w:t>
      </w:r>
      <w:r>
        <w:rPr>
          <w:rFonts w:hint="eastAsia" w:ascii="仿宋_GB2312" w:hAnsi="仿宋_GB2312" w:eastAsia="仿宋_GB2312" w:cs="仿宋_GB2312"/>
          <w:color w:val="auto"/>
          <w:sz w:val="32"/>
          <w:szCs w:val="32"/>
        </w:rPr>
        <w:t>预算管理办法、收支管理办法、</w:t>
      </w:r>
      <w:r>
        <w:rPr>
          <w:rFonts w:hint="eastAsia" w:ascii="仿宋_GB2312" w:hAnsi="仿宋_GB2312" w:eastAsia="仿宋_GB2312" w:cs="仿宋_GB2312"/>
          <w:color w:val="auto"/>
          <w:sz w:val="32"/>
          <w:szCs w:val="32"/>
          <w:lang w:eastAsia="zh-CN"/>
        </w:rPr>
        <w:t>委托业务审批</w:t>
      </w:r>
      <w:r>
        <w:rPr>
          <w:rFonts w:hint="eastAsia" w:ascii="仿宋_GB2312" w:hAnsi="仿宋_GB2312" w:eastAsia="仿宋_GB2312" w:cs="仿宋_GB2312"/>
          <w:color w:val="auto"/>
          <w:sz w:val="32"/>
          <w:szCs w:val="32"/>
        </w:rPr>
        <w:t>等制度，严格控制开支范围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开支标准</w:t>
      </w:r>
      <w:r>
        <w:rPr>
          <w:rFonts w:hint="eastAsia" w:ascii="仿宋_GB2312" w:hAnsi="仿宋_GB2312" w:eastAsia="仿宋_GB2312" w:cs="仿宋_GB2312"/>
          <w:color w:val="auto"/>
          <w:sz w:val="32"/>
          <w:szCs w:val="32"/>
          <w:lang w:eastAsia="zh-CN"/>
        </w:rPr>
        <w:t>和审批权限；根据院</w:t>
      </w:r>
      <w:r>
        <w:rPr>
          <w:rFonts w:hint="eastAsia" w:ascii="仿宋_GB2312" w:hAnsi="仿宋_GB2312" w:eastAsia="仿宋_GB2312" w:cs="仿宋_GB2312"/>
          <w:color w:val="auto"/>
          <w:sz w:val="32"/>
          <w:szCs w:val="32"/>
        </w:rPr>
        <w:t>大额资金事前使用审批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公务接待管理</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制度，严格</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省、市公务支出管理制度及院财务管理制度等规定，进一步强化各项支出审批制度</w:t>
      </w:r>
      <w:r>
        <w:rPr>
          <w:rFonts w:hint="eastAsia" w:ascii="仿宋_GB2312" w:hAnsi="仿宋_GB2312" w:eastAsia="仿宋_GB2312" w:cs="仿宋_GB2312"/>
          <w:color w:val="auto"/>
          <w:sz w:val="32"/>
          <w:szCs w:val="32"/>
          <w:lang w:eastAsia="zh-CN"/>
        </w:rPr>
        <w:t>落实监督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二是严格落实</w:t>
      </w:r>
      <w:r>
        <w:rPr>
          <w:rFonts w:hint="eastAsia" w:ascii="仿宋_GB2312" w:hAnsi="仿宋_GB2312" w:eastAsia="仿宋_GB2312" w:cs="仿宋_GB2312"/>
          <w:color w:val="auto"/>
          <w:sz w:val="32"/>
          <w:szCs w:val="32"/>
          <w:lang w:val="en-US" w:eastAsia="zh-CN"/>
        </w:rPr>
        <w:t>AB岗制度。</w:t>
      </w:r>
      <w:r>
        <w:rPr>
          <w:rFonts w:hint="eastAsia" w:ascii="仿宋_GB2312" w:hAnsi="仿宋_GB2312" w:eastAsia="仿宋_GB2312" w:cs="仿宋_GB2312"/>
          <w:color w:val="auto"/>
          <w:sz w:val="32"/>
          <w:szCs w:val="32"/>
          <w:lang w:val="en"/>
        </w:rPr>
        <w:t>进一步强化绩效理念和支出责任意识，牢固树立厉行节约、过“紧日子”的思想，按照“谁用钱、谁管理，谁分钱、谁审核”的原</w:t>
      </w:r>
      <w:r>
        <w:rPr>
          <w:rFonts w:hint="eastAsia" w:ascii="仿宋_GB2312" w:hAnsi="仿宋_GB2312" w:eastAsia="仿宋_GB2312" w:cs="仿宋_GB2312"/>
          <w:color w:val="auto"/>
          <w:sz w:val="32"/>
          <w:szCs w:val="32"/>
          <w:lang w:val="en" w:eastAsia="zh-CN"/>
        </w:rPr>
        <w:t>则，</w:t>
      </w:r>
      <w:r>
        <w:rPr>
          <w:rFonts w:hint="eastAsia" w:ascii="仿宋_GB2312" w:hAnsi="仿宋_GB2312" w:eastAsia="仿宋_GB2312" w:cs="仿宋_GB2312"/>
          <w:color w:val="auto"/>
          <w:sz w:val="32"/>
          <w:szCs w:val="32"/>
          <w:lang w:val="en"/>
        </w:rPr>
        <w:t>分级压实</w:t>
      </w:r>
      <w:r>
        <w:rPr>
          <w:rFonts w:hint="eastAsia" w:ascii="仿宋_GB2312" w:hAnsi="仿宋_GB2312" w:eastAsia="仿宋_GB2312" w:cs="仿宋_GB2312"/>
          <w:color w:val="auto"/>
          <w:sz w:val="32"/>
          <w:szCs w:val="32"/>
          <w:lang w:val="en" w:eastAsia="zh-CN"/>
        </w:rPr>
        <w:t>财务支出、绩效评价等</w:t>
      </w:r>
      <w:r>
        <w:rPr>
          <w:rFonts w:hint="eastAsia" w:ascii="仿宋_GB2312" w:hAnsi="仿宋_GB2312" w:eastAsia="仿宋_GB2312" w:cs="仿宋_GB2312"/>
          <w:color w:val="auto"/>
          <w:sz w:val="32"/>
          <w:szCs w:val="32"/>
          <w:lang w:val="en"/>
        </w:rPr>
        <w:t>主体责任</w:t>
      </w:r>
      <w:r>
        <w:rPr>
          <w:rFonts w:hint="eastAsia" w:ascii="仿宋_GB2312" w:hAnsi="仿宋_GB2312" w:eastAsia="仿宋_GB2312" w:cs="仿宋_GB2312"/>
          <w:color w:val="auto"/>
          <w:sz w:val="32"/>
          <w:szCs w:val="32"/>
          <w:lang w:val="en" w:eastAsia="zh-CN"/>
        </w:rPr>
        <w:t>。有关涉及不相融岗位严格按</w:t>
      </w:r>
      <w:r>
        <w:rPr>
          <w:rFonts w:hint="eastAsia" w:ascii="仿宋_GB2312" w:hAnsi="仿宋_GB2312" w:eastAsia="仿宋_GB2312" w:cs="仿宋_GB2312"/>
          <w:color w:val="auto"/>
          <w:sz w:val="32"/>
          <w:szCs w:val="32"/>
          <w:lang w:val="en-US" w:eastAsia="zh-CN"/>
        </w:rPr>
        <w:t>AB岗位制度执行，对有关金额小的物资采购实行见证人制度。</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强化</w:t>
      </w:r>
      <w:r>
        <w:rPr>
          <w:rFonts w:hint="eastAsia" w:ascii="仿宋_GB2312" w:hAnsi="仿宋_GB2312" w:eastAsia="仿宋_GB2312" w:cs="仿宋_GB2312"/>
          <w:color w:val="auto"/>
          <w:sz w:val="32"/>
          <w:szCs w:val="32"/>
        </w:rPr>
        <w:t>资产</w:t>
      </w:r>
      <w:r>
        <w:rPr>
          <w:rFonts w:hint="eastAsia" w:ascii="仿宋_GB2312" w:hAnsi="仿宋_GB2312" w:eastAsia="仿宋_GB2312" w:cs="仿宋_GB2312"/>
          <w:color w:val="auto"/>
          <w:sz w:val="32"/>
          <w:szCs w:val="32"/>
          <w:lang w:eastAsia="zh-CN"/>
        </w:rPr>
        <w:t>日常</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严格按照《丽水市农林科学研究院固定资产管理办法》</w:t>
      </w:r>
      <w:r>
        <w:rPr>
          <w:rFonts w:hint="eastAsia" w:ascii="仿宋_GB2312" w:hAnsi="仿宋_GB2312" w:eastAsia="仿宋_GB2312" w:cs="仿宋_GB2312"/>
          <w:color w:val="auto"/>
          <w:sz w:val="32"/>
          <w:szCs w:val="32"/>
          <w:lang w:eastAsia="zh-CN"/>
        </w:rPr>
        <w:t>强化我院</w:t>
      </w:r>
      <w:r>
        <w:rPr>
          <w:rFonts w:hint="eastAsia" w:ascii="仿宋_GB2312" w:hAnsi="仿宋_GB2312" w:eastAsia="仿宋_GB2312" w:cs="仿宋_GB2312"/>
          <w:color w:val="auto"/>
          <w:sz w:val="32"/>
          <w:szCs w:val="32"/>
        </w:rPr>
        <w:t>资产管理。固定资产的管理和使用坚持分级管理、责任到人、物尽其用的原则。强化资产管理主体责任，提高固定资产的使用效</w:t>
      </w:r>
      <w:r>
        <w:rPr>
          <w:rFonts w:hint="eastAsia" w:ascii="仿宋_GB2312" w:hAnsi="仿宋_GB2312" w:eastAsia="仿宋_GB2312" w:cs="仿宋_GB2312"/>
          <w:color w:val="auto"/>
          <w:sz w:val="32"/>
          <w:szCs w:val="32"/>
          <w:lang w:eastAsia="zh-CN"/>
        </w:rPr>
        <w:t>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强化</w:t>
      </w:r>
      <w:r>
        <w:rPr>
          <w:rFonts w:hint="eastAsia" w:ascii="仿宋_GB2312" w:hAnsi="仿宋_GB2312" w:eastAsia="仿宋_GB2312" w:cs="仿宋_GB2312"/>
          <w:color w:val="auto"/>
          <w:sz w:val="32"/>
          <w:szCs w:val="32"/>
        </w:rPr>
        <w:t>资产日常管理，确保资产账实相符。对本</w:t>
      </w:r>
      <w:r>
        <w:rPr>
          <w:rFonts w:hint="eastAsia" w:ascii="仿宋_GB2312" w:hAnsi="仿宋_GB2312" w:eastAsia="仿宋_GB2312" w:cs="仿宋_GB2312"/>
          <w:color w:val="auto"/>
          <w:sz w:val="32"/>
          <w:szCs w:val="32"/>
          <w:lang w:eastAsia="zh-CN"/>
        </w:rPr>
        <w:t>院</w:t>
      </w:r>
      <w:r>
        <w:rPr>
          <w:rFonts w:hint="eastAsia" w:ascii="仿宋_GB2312" w:hAnsi="仿宋_GB2312" w:eastAsia="仿宋_GB2312" w:cs="仿宋_GB2312"/>
          <w:color w:val="auto"/>
          <w:sz w:val="32"/>
          <w:szCs w:val="32"/>
        </w:rPr>
        <w:t>资产信息系统的相关信息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单位人员、职级、内设机构等基础信息逐项</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核实</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，确保基础信息真实、准确。为单位的资产配置标准计算提供准确的依据。4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强化</w:t>
      </w:r>
      <w:r>
        <w:rPr>
          <w:rFonts w:hint="eastAsia" w:ascii="仿宋_GB2312" w:hAnsi="仿宋_GB2312" w:eastAsia="仿宋_GB2312" w:cs="仿宋_GB2312"/>
          <w:color w:val="auto"/>
          <w:sz w:val="32"/>
          <w:szCs w:val="32"/>
        </w:rPr>
        <w:t>内控制度建</w:t>
      </w:r>
      <w:r>
        <w:rPr>
          <w:rFonts w:hint="eastAsia" w:ascii="仿宋_GB2312" w:hAnsi="仿宋_GB2312" w:eastAsia="仿宋_GB2312" w:cs="仿宋_GB2312"/>
          <w:color w:val="auto"/>
          <w:sz w:val="32"/>
          <w:szCs w:val="32"/>
          <w:lang w:eastAsia="zh-CN"/>
        </w:rPr>
        <w:t>设。</w:t>
      </w:r>
      <w:r>
        <w:rPr>
          <w:rFonts w:hint="eastAsia" w:ascii="仿宋_GB2312" w:hAnsi="仿宋_GB2312" w:eastAsia="仿宋_GB2312" w:cs="仿宋_GB2312"/>
          <w:color w:val="auto"/>
          <w:sz w:val="32"/>
          <w:szCs w:val="32"/>
        </w:rPr>
        <w:t>自2018年以来，先后共制定、修订了包括《丽水市农林科院预算管理办法》、《丽水市农林科院固定资产管理办法》在内的21项内控管理制度，涵盖了我院所有职能部门及关键岗位。</w:t>
      </w:r>
      <w:r>
        <w:rPr>
          <w:rFonts w:hint="eastAsia" w:ascii="仿宋_GB2312" w:hAnsi="仿宋_GB2312" w:eastAsia="仿宋_GB2312" w:cs="仿宋_GB2312"/>
          <w:color w:val="auto"/>
          <w:sz w:val="32"/>
          <w:szCs w:val="32"/>
          <w:lang w:eastAsia="zh-CN"/>
        </w:rPr>
        <w:t>根据上级有关规定的要求，结合院实际工作并充分吸收科技人员的意见与建议，</w:t>
      </w:r>
      <w:r>
        <w:rPr>
          <w:rFonts w:hint="eastAsia" w:ascii="仿宋_GB2312" w:hAnsi="仿宋_GB2312" w:eastAsia="仿宋_GB2312" w:cs="仿宋_GB2312"/>
          <w:color w:val="auto"/>
          <w:sz w:val="32"/>
          <w:szCs w:val="32"/>
          <w:lang w:val="en-US" w:eastAsia="zh-CN"/>
        </w:rPr>
        <w:t>2021年制定了《丽水市农林科院考勤管理制度》、《丽水市农林科院科研委托性业务管理办法》等</w:t>
      </w:r>
      <w:r>
        <w:rPr>
          <w:rFonts w:hint="eastAsia" w:ascii="仿宋_GB2312" w:hAnsi="仿宋_GB2312" w:eastAsia="仿宋_GB2312" w:cs="仿宋_GB2312"/>
          <w:color w:val="auto"/>
          <w:sz w:val="32"/>
          <w:szCs w:val="32"/>
          <w:lang w:eastAsia="zh-CN"/>
        </w:rPr>
        <w:t>相关制度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N/>
        <w:bidi w:val="0"/>
        <w:adjustRightInd/>
        <w:spacing w:line="560" w:lineRule="exact"/>
        <w:ind w:firstLine="614" w:firstLineChars="192"/>
        <w:textAlignment w:val="auto"/>
        <w:rPr>
          <w:rFonts w:hint="eastAsia" w:ascii="黑体" w:hAnsi="黑体" w:eastAsia="黑体" w:cs="黑体"/>
          <w:sz w:val="32"/>
          <w:szCs w:val="32"/>
        </w:rPr>
      </w:pPr>
      <w:r>
        <w:rPr>
          <w:rFonts w:hint="eastAsia" w:ascii="黑体" w:hAnsi="黑体" w:eastAsia="黑体" w:cs="黑体"/>
          <w:sz w:val="32"/>
          <w:szCs w:val="32"/>
        </w:rPr>
        <w:t>二、部门整体支出绩效状况</w:t>
      </w:r>
    </w:p>
    <w:p>
      <w:pPr>
        <w:keepNext w:val="0"/>
        <w:keepLines w:val="0"/>
        <w:pageBreakBefore w:val="0"/>
        <w:widowControl w:val="0"/>
        <w:kinsoku/>
        <w:wordWrap/>
        <w:overflowPunct/>
        <w:topLinePunct w:val="0"/>
        <w:autoSpaceDN/>
        <w:bidi w:val="0"/>
        <w:adjustRightInd/>
        <w:spacing w:line="560" w:lineRule="exact"/>
        <w:ind w:firstLine="320" w:firstLineChars="1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科研水平</w:t>
      </w:r>
      <w:r>
        <w:rPr>
          <w:rFonts w:hint="eastAsia" w:ascii="楷体_GB2312" w:hAnsi="楷体_GB2312" w:eastAsia="楷体_GB2312" w:cs="楷体_GB2312"/>
          <w:color w:val="auto"/>
          <w:sz w:val="32"/>
          <w:szCs w:val="32"/>
          <w:lang w:eastAsia="zh-CN"/>
        </w:rPr>
        <w:t>持续提升</w:t>
      </w:r>
    </w:p>
    <w:p>
      <w:pPr>
        <w:keepNext w:val="0"/>
        <w:keepLines w:val="0"/>
        <w:pageBreakBefore w:val="0"/>
        <w:widowControl w:val="0"/>
        <w:kinsoku/>
        <w:wordWrap/>
        <w:overflowPunct/>
        <w:topLinePunct w:val="0"/>
        <w:autoSpaceDE w:val="0"/>
        <w:autoSpaceDN/>
        <w:bidi w:val="0"/>
        <w:adjustRightInd/>
        <w:spacing w:line="560" w:lineRule="exact"/>
        <w:ind w:left="12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强化技术创新，提升科研能力。积极申报各类项目67项，获省国际合作技术研发与示范推广项目、中央财政林业推广项目等28项，争取项目经费1254万元，连续五年到位经费超千万。主持参与获浙江省农业丰收奖、省科技兴林奖等各类科技奖项5项。授权发明专利9项、实用新型11专利项，审（认）定新品种4个和植物新品种权1个，编制各类标准8项。发表学术论文百余篇，其中，在top期刊上发表学术论文3篇。</w:t>
      </w:r>
    </w:p>
    <w:p>
      <w:pPr>
        <w:keepNext w:val="0"/>
        <w:keepLines w:val="0"/>
        <w:pageBreakBefore w:val="0"/>
        <w:widowControl w:val="0"/>
        <w:kinsoku/>
        <w:wordWrap/>
        <w:overflowPunct/>
        <w:topLinePunct w:val="0"/>
        <w:autoSpaceDE w:val="0"/>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推进种业创新，助力产业发展。</w:t>
      </w:r>
      <w:r>
        <w:rPr>
          <w:rFonts w:hint="eastAsia" w:ascii="仿宋_GB2312" w:hAnsi="仿宋_GB2312" w:eastAsia="仿宋_GB2312" w:cs="仿宋_GB2312"/>
          <w:color w:val="auto"/>
          <w:sz w:val="32"/>
          <w:szCs w:val="32"/>
          <w:lang w:eastAsia="zh-CN"/>
        </w:rPr>
        <w:t>我院选育的香菇品种</w:t>
      </w:r>
      <w:r>
        <w:rPr>
          <w:rFonts w:hint="eastAsia" w:ascii="仿宋_GB2312" w:hAnsi="仿宋_GB2312" w:eastAsia="仿宋_GB2312" w:cs="仿宋_GB2312"/>
          <w:color w:val="auto"/>
          <w:sz w:val="32"/>
          <w:szCs w:val="32"/>
          <w:lang w:val="en-US" w:eastAsia="zh-CN"/>
        </w:rPr>
        <w:t>L808，黑木耳品种丽黑3号被列为2021年度浙江省农业主推品种。持续</w:t>
      </w:r>
      <w:r>
        <w:rPr>
          <w:rFonts w:hint="eastAsia" w:ascii="仿宋_GB2312" w:hAnsi="仿宋_GB2312" w:eastAsia="仿宋_GB2312" w:cs="仿宋_GB2312"/>
          <w:color w:val="auto"/>
          <w:sz w:val="32"/>
          <w:szCs w:val="32"/>
        </w:rPr>
        <w:t>开展茶叶、野菜、特色经</w:t>
      </w:r>
      <w:r>
        <w:rPr>
          <w:rFonts w:hint="eastAsia" w:ascii="仿宋_GB2312" w:hAnsi="仿宋_GB2312" w:eastAsia="仿宋_GB2312" w:cs="仿宋_GB2312"/>
          <w:sz w:val="32"/>
          <w:szCs w:val="32"/>
        </w:rPr>
        <w:t>济林良种等的种质资源调查，建立各类型种质资源保存及利用基地6个，收集种质资源196份，保存种质材料3000余份，鉴定评价种质1285份。开展豆类、特色红米、黑木耳品种等5个新创制种质进入十四五品种登记DUS测试。“丽猴3号”等3个品种参加2021年浙江省区试。多个育成品种累计推广2.68万亩，为我市农林发展提供了重要的技术支撑。</w:t>
      </w:r>
    </w:p>
    <w:p>
      <w:pPr>
        <w:keepNext w:val="0"/>
        <w:keepLines w:val="0"/>
        <w:pageBreakBefore w:val="0"/>
        <w:widowControl w:val="0"/>
        <w:kinsoku/>
        <w:wordWrap/>
        <w:overflowPunct/>
        <w:topLinePunct w:val="0"/>
        <w:autoSpaceDE w:val="0"/>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夯实创新平台，增强支撑能力。一是合作共建高能级科创中心。以我院松阳农科教旅一体化基地为基</w:t>
      </w:r>
      <w:r>
        <w:rPr>
          <w:rFonts w:hint="eastAsia" w:ascii="仿宋_GB2312" w:hAnsi="仿宋_GB2312" w:eastAsia="仿宋_GB2312" w:cs="仿宋_GB2312"/>
          <w:sz w:val="32"/>
          <w:szCs w:val="32"/>
          <w:lang w:eastAsia="zh-CN"/>
        </w:rPr>
        <w:t>础</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积极谋划丽水农科教旅一体化基地（二期）建设，成功签约</w:t>
      </w:r>
      <w:r>
        <w:rPr>
          <w:rFonts w:hint="eastAsia" w:ascii="仿宋_GB2312" w:hAnsi="仿宋_GB2312" w:eastAsia="仿宋_GB2312" w:cs="仿宋_GB2312"/>
          <w:color w:val="auto"/>
          <w:sz w:val="32"/>
          <w:szCs w:val="32"/>
          <w:shd w:val="clear" w:color="auto" w:fill="FFFFFF"/>
        </w:rPr>
        <w:t>丽水市人民政府、中国农业科学院茶叶研究所、松阳县人民政府三方合作共建“中国农业科学院茶叶研究所长三角创新中</w:t>
      </w:r>
      <w:r>
        <w:rPr>
          <w:rFonts w:hint="eastAsia" w:ascii="仿宋_GB2312" w:hAnsi="仿宋_GB2312" w:eastAsia="仿宋_GB2312" w:cs="仿宋_GB2312"/>
          <w:color w:val="auto"/>
          <w:sz w:val="32"/>
          <w:szCs w:val="32"/>
        </w:rPr>
        <w:t>心”。创新中心以</w:t>
      </w:r>
      <w:r>
        <w:rPr>
          <w:rFonts w:hint="eastAsia" w:ascii="仿宋_GB2312" w:hAnsi="仿宋_GB2312" w:eastAsia="仿宋_GB2312" w:cs="仿宋_GB2312"/>
          <w:color w:val="auto"/>
          <w:sz w:val="32"/>
          <w:szCs w:val="32"/>
          <w:lang w:eastAsia="zh-CN"/>
        </w:rPr>
        <w:t>创建浙江省</w:t>
      </w:r>
      <w:r>
        <w:rPr>
          <w:rFonts w:hint="eastAsia" w:ascii="仿宋_GB2312" w:hAnsi="仿宋_GB2312" w:eastAsia="仿宋_GB2312" w:cs="仿宋_GB2312"/>
          <w:sz w:val="32"/>
          <w:szCs w:val="32"/>
        </w:rPr>
        <w:t>重点实验室（技术中心）、全国先进的智慧农业示范样板为工作目标，全力助推丽水茶产业的高质量发展。二是深化浙江省茶树种质资源圃的建设工作。由我院承建的浙江省茶树种质资源圃于2021年9月建成开园，省茶树种质资源查询平台正式上线，平台收集保存茶树资源覆盖了国内16个主要产茶省和日本、印度等东南亚地区。三是强化合作充分发挥平台优势。高质量完成“十四五”国家食用菌、茶叶产业技术体系综合试验站2021年相关工作，与广东省农科院合作开展茶叶育苗关键技术研究。有序开展国家级博士后科研工作站建设，引进合作培养博士后2名，充分利用平台优势合作申报国家级博士后科研基金项目。</w:t>
      </w:r>
    </w:p>
    <w:p>
      <w:pPr>
        <w:keepNext w:val="0"/>
        <w:keepLines w:val="0"/>
        <w:pageBreakBefore w:val="0"/>
        <w:widowControl w:val="0"/>
        <w:numPr>
          <w:ilvl w:val="0"/>
          <w:numId w:val="0"/>
        </w:numPr>
        <w:kinsoku/>
        <w:wordWrap/>
        <w:overflowPunct/>
        <w:topLinePunct w:val="0"/>
        <w:autoSpaceDE w:val="0"/>
        <w:autoSpaceDN/>
        <w:bidi w:val="0"/>
        <w:adjustRightIn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科技服务成效明显</w:t>
      </w:r>
    </w:p>
    <w:p>
      <w:pPr>
        <w:keepNext w:val="0"/>
        <w:keepLines w:val="0"/>
        <w:pageBreakBefore w:val="0"/>
        <w:widowControl w:val="0"/>
        <w:kinsoku/>
        <w:wordWrap/>
        <w:overflowPunct/>
        <w:topLinePunct w:val="0"/>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全面推进“三服务”，助力高质量绿色发展。以“三服务”为主抓手，围绕市委“三农”工作会议重点任务和乡村振兴战略工作，做好产业服务与科技成果转化。通过科技项目合作、科技特派员、农民讲师团、“双百引领计划”、“百名专家连百村”、农作物放心工程等活动载体，深化四季服务两山实践。全年合作共建各类示范基地80个7044亩，深入一线对接服务各类主体81家，开展“三服务”等科技下乡活动344次。组织或参与各类培训71场，培训3712人次，示范推广各类技术46项推广面积近10万亩。先后被评选为丽水市生态精品现代农业优胜单位、丽水市新农村建设工作优胜单位，2人被市委市政府授予全市实施乡村振兴战略工作突出贡献个人。</w:t>
      </w:r>
    </w:p>
    <w:p>
      <w:pPr>
        <w:keepNext w:val="0"/>
        <w:keepLines w:val="0"/>
        <w:pageBreakBefore w:val="0"/>
        <w:widowControl w:val="0"/>
        <w:kinsoku/>
        <w:wordWrap/>
        <w:overflowPunct/>
        <w:topLinePunct w:val="0"/>
        <w:autoSpaceDE w:val="0"/>
        <w:autoSpaceDN/>
        <w:bidi w:val="0"/>
        <w:adjustRightIn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发挥人才优势，助力产学研用。以技术专家、团队形式为各乡镇农企提供技术支撑。我院专家团队在“双百”挂职工作中发挥了重要的纽带角色，引导政企开展战略合作，重点打造订单式中药材生态种植基地保障高质量产品生产，形成优质药材种植和中药饮片生产供应链条，带动促进当地特色产业发展。协助企业开展“万亩前胡”发展计划，在景宁县2021年“双招双引”强势领航推进会上完成项目签约。食用菌技术专家团队应国家林草局科技司等部门邀请，到广西罗城、四川宝兴、贵州等地开展香菇黑木耳和林下食用菌科技服务指导，受到了当地农企的一致肯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强化院地合作，提升服务区域成效。</w:t>
      </w:r>
      <w:r>
        <w:rPr>
          <w:rFonts w:hint="eastAsia" w:ascii="仿宋_GB2312" w:hAnsi="仿宋_GB2312" w:eastAsia="仿宋_GB2312" w:cs="仿宋_GB2312"/>
          <w:color w:val="auto"/>
          <w:sz w:val="32"/>
          <w:szCs w:val="32"/>
          <w:lang w:eastAsia="zh-CN"/>
        </w:rPr>
        <w:t>我院主持的</w:t>
      </w:r>
      <w:r>
        <w:rPr>
          <w:rFonts w:hint="eastAsia" w:ascii="仿宋_GB2312" w:hAnsi="仿宋_GB2312" w:eastAsia="仿宋_GB2312" w:cs="仿宋_GB2312"/>
          <w:color w:val="auto"/>
          <w:sz w:val="32"/>
          <w:szCs w:val="32"/>
        </w:rPr>
        <w:t>黑木耳自动采摘机研发项目</w:t>
      </w:r>
      <w:r>
        <w:rPr>
          <w:rFonts w:hint="eastAsia" w:ascii="仿宋_GB2312" w:hAnsi="仿宋_GB2312" w:eastAsia="仿宋_GB2312" w:cs="仿宋_GB2312"/>
          <w:color w:val="auto"/>
          <w:sz w:val="32"/>
          <w:szCs w:val="32"/>
          <w:lang w:eastAsia="zh-CN"/>
        </w:rPr>
        <w:t>被龙泉市列为市</w:t>
      </w:r>
      <w:r>
        <w:rPr>
          <w:rFonts w:hint="eastAsia" w:ascii="仿宋_GB2312" w:hAnsi="仿宋_GB2312" w:eastAsia="仿宋_GB2312" w:cs="仿宋_GB2312"/>
          <w:color w:val="auto"/>
          <w:sz w:val="32"/>
          <w:szCs w:val="32"/>
        </w:rPr>
        <w:t>重点工作内容，在农业农村厅“一县一业</w:t>
      </w:r>
      <w:r>
        <w:rPr>
          <w:rFonts w:hint="eastAsia" w:ascii="仿宋_GB2312" w:hAnsi="仿宋_GB2312" w:eastAsia="仿宋_GB2312" w:cs="仿宋_GB2312"/>
          <w:sz w:val="32"/>
          <w:szCs w:val="32"/>
        </w:rPr>
        <w:t>一策重点突破项目”项目汇报会上得到了省厅领导和专家充分肯定，并作为黑木耳产业机械强农专题汇报栏目列入每周督办件报龙泉市委书记。主动对接莲都区区政府，以品种改良优化作为重要技术攻关方向，为峰源乡小黄牛产业寻找发展的突破口，谋划与碧湖镇开展猪种质资源保种育种院地合作科技项目。在缙云、龙泉等地建立肉羊生态养殖示范基地，推广应用农业副产物资源饲料化新技术和肉羊生态养殖新模式，每年节约投入成本29%-39%。</w:t>
      </w:r>
    </w:p>
    <w:p>
      <w:pPr>
        <w:keepNext w:val="0"/>
        <w:keepLines w:val="0"/>
        <w:pageBreakBefore w:val="0"/>
        <w:widowControl w:val="0"/>
        <w:kinsoku/>
        <w:wordWrap/>
        <w:overflowPunct/>
        <w:topLinePunct w:val="0"/>
        <w:autoSpaceDN/>
        <w:bidi w:val="0"/>
        <w:adjustRightInd/>
        <w:spacing w:line="560" w:lineRule="exact"/>
        <w:ind w:firstLine="614" w:firstLineChars="192"/>
        <w:textAlignment w:val="auto"/>
        <w:rPr>
          <w:rFonts w:hint="eastAsia" w:ascii="黑体" w:hAnsi="黑体" w:eastAsia="黑体" w:cs="黑体"/>
          <w:sz w:val="32"/>
          <w:szCs w:val="32"/>
        </w:rPr>
      </w:pPr>
      <w:r>
        <w:rPr>
          <w:rFonts w:hint="eastAsia" w:ascii="黑体" w:hAnsi="黑体" w:eastAsia="黑体" w:cs="黑体"/>
          <w:sz w:val="32"/>
          <w:szCs w:val="32"/>
        </w:rPr>
        <w:t>三、存在的问题及原因</w:t>
      </w:r>
    </w:p>
    <w:p>
      <w:pPr>
        <w:pStyle w:val="5"/>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一是</w:t>
      </w:r>
      <w:r>
        <w:rPr>
          <w:rFonts w:hint="eastAsia" w:ascii="仿宋_GB2312" w:hAnsi="仿宋_GB2312" w:eastAsia="仿宋_GB2312" w:cs="仿宋_GB2312"/>
          <w:b w:val="0"/>
          <w:bCs w:val="0"/>
          <w:color w:val="auto"/>
          <w:sz w:val="32"/>
          <w:szCs w:val="32"/>
        </w:rPr>
        <w:t>农业技术研究存在基础性、公益性、长期性与季节性特点，随着研究的不断深入，资金使用计划调整变化较大，导致资金使用进度的不确定性，而影响年度绩效的执行率。</w:t>
      </w:r>
      <w:r>
        <w:rPr>
          <w:rFonts w:hint="eastAsia" w:ascii="仿宋_GB2312" w:hAnsi="仿宋_GB2312" w:eastAsia="仿宋_GB2312" w:cs="仿宋_GB2312"/>
          <w:b w:val="0"/>
          <w:bCs w:val="0"/>
          <w:color w:val="auto"/>
          <w:sz w:val="32"/>
          <w:szCs w:val="32"/>
          <w:lang w:val="en-US" w:eastAsia="zh-CN"/>
        </w:rPr>
        <w:t>二是</w:t>
      </w:r>
      <w:r>
        <w:rPr>
          <w:rFonts w:hint="eastAsia" w:ascii="仿宋_GB2312" w:hAnsi="仿宋_GB2312" w:eastAsia="仿宋_GB2312" w:cs="仿宋_GB2312"/>
          <w:b w:val="0"/>
          <w:bCs w:val="0"/>
          <w:color w:val="auto"/>
          <w:kern w:val="2"/>
          <w:sz w:val="32"/>
          <w:szCs w:val="32"/>
          <w:lang w:val="en-US" w:eastAsia="zh-CN" w:bidi="ar-SA"/>
        </w:rPr>
        <w:t>人才结构还需进一步优化。职称结构日益固化。岗位聘任“只上不下”，与额定高级岗位数比已严重超标，短期内无法通过内部消化，职称结构固化，职称晋升难；人才断层现象还比较突出。人才梯队在学历、创新能力和科技服务等方面存在一定的断层情况，学科带头人和优秀中青年骨干更为短缺；不同程度存在职业倦怠，受职称晋升难，生产实践对创新引领的要求高，成果转化难等多因素影响，在科技人员中职业倦怠感比较明显。三是</w:t>
      </w:r>
      <w:r>
        <w:rPr>
          <w:rFonts w:hint="eastAsia" w:ascii="仿宋_GB2312" w:hAnsi="仿宋_GB2312" w:eastAsia="仿宋_GB2312" w:cs="仿宋_GB2312"/>
          <w:b w:val="0"/>
          <w:bCs w:val="0"/>
          <w:color w:val="auto"/>
          <w:sz w:val="32"/>
          <w:szCs w:val="32"/>
          <w:lang w:val="en-US" w:eastAsia="zh-CN"/>
        </w:rPr>
        <w:t>公益性专项经费不足。</w:t>
      </w:r>
      <w:r>
        <w:rPr>
          <w:rFonts w:hint="eastAsia" w:ascii="仿宋_GB2312" w:hAnsi="仿宋_GB2312" w:eastAsia="仿宋_GB2312" w:cs="仿宋_GB2312"/>
          <w:b w:val="0"/>
          <w:bCs w:val="0"/>
          <w:color w:val="auto"/>
          <w:kern w:val="2"/>
          <w:sz w:val="32"/>
          <w:szCs w:val="32"/>
          <w:lang w:val="en-US" w:eastAsia="zh-CN" w:bidi="ar-SA"/>
        </w:rPr>
        <w:t>虽然近四年科研经费超一千万元，较“十二五”较大增长。但95%以上的科研经费获得途径为竞争性，团队建设及平台维护缺乏一定比例的稳定公益性专项拨款。四是标志性科研业绩缺乏。2021年，我院在专利授权、学术论文发表、新品种选育等方面都有一定收获，但未能形成重量级标志性科研成果，与我院“</w:t>
      </w:r>
      <w:r>
        <w:rPr>
          <w:rFonts w:hint="eastAsia" w:ascii="仿宋_GB2312" w:hAnsi="仿宋_GB2312" w:eastAsia="仿宋_GB2312" w:cs="仿宋_GB2312"/>
          <w:b w:val="0"/>
          <w:bCs w:val="0"/>
          <w:color w:val="auto"/>
          <w:kern w:val="2"/>
          <w:sz w:val="32"/>
          <w:szCs w:val="32"/>
          <w:highlight w:val="none"/>
          <w:lang w:val="en-US" w:eastAsia="zh-CN"/>
        </w:rPr>
        <w:t>科技创新在若干领域国内省内有影响、成果转化为丽水现代生态农业提供重要支撑”的工作目标还有一定差距。</w:t>
      </w:r>
    </w:p>
    <w:p>
      <w:pPr>
        <w:keepNext w:val="0"/>
        <w:keepLines w:val="0"/>
        <w:pageBreakBefore w:val="0"/>
        <w:widowControl w:val="0"/>
        <w:kinsoku/>
        <w:wordWrap/>
        <w:overflowPunct/>
        <w:topLinePunct w:val="0"/>
        <w:autoSpaceDN/>
        <w:bidi w:val="0"/>
        <w:adjustRightInd/>
        <w:spacing w:line="560" w:lineRule="exact"/>
        <w:ind w:firstLine="614" w:firstLineChars="192"/>
        <w:textAlignment w:val="auto"/>
        <w:rPr>
          <w:rFonts w:hint="eastAsia" w:ascii="黑体" w:hAnsi="黑体" w:eastAsia="黑体" w:cs="黑体"/>
          <w:sz w:val="32"/>
          <w:szCs w:val="32"/>
        </w:rPr>
      </w:pPr>
      <w:r>
        <w:rPr>
          <w:rFonts w:hint="eastAsia" w:ascii="黑体" w:hAnsi="黑体" w:eastAsia="黑体" w:cs="黑体"/>
          <w:sz w:val="32"/>
          <w:szCs w:val="32"/>
        </w:rPr>
        <w:t>四、提高财政资金绩效的措施与建议</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一是强化财政资金绩效评价，提高科技人员资金使用绩效意识，</w:t>
      </w:r>
      <w:r>
        <w:rPr>
          <w:rFonts w:hint="eastAsia" w:ascii="仿宋_GB2312" w:hAnsi="仿宋_GB2312" w:eastAsia="仿宋_GB2312" w:cs="仿宋_GB2312"/>
          <w:color w:val="auto"/>
          <w:sz w:val="32"/>
          <w:szCs w:val="32"/>
          <w:lang w:eastAsia="zh-CN"/>
        </w:rPr>
        <w:t>进一步完善</w:t>
      </w:r>
      <w:r>
        <w:rPr>
          <w:rFonts w:hint="eastAsia" w:ascii="仿宋_GB2312" w:hAnsi="仿宋_GB2312" w:eastAsia="仿宋_GB2312" w:cs="仿宋_GB2312"/>
          <w:color w:val="auto"/>
          <w:sz w:val="32"/>
          <w:szCs w:val="32"/>
        </w:rPr>
        <w:t>内部控制制度，</w:t>
      </w:r>
      <w:r>
        <w:rPr>
          <w:rFonts w:hint="eastAsia" w:ascii="仿宋_GB2312" w:hAnsi="仿宋_GB2312" w:eastAsia="仿宋_GB2312" w:cs="仿宋_GB2312"/>
          <w:color w:val="auto"/>
          <w:sz w:val="32"/>
          <w:szCs w:val="32"/>
          <w:lang w:eastAsia="zh-CN"/>
        </w:rPr>
        <w:t>强化内部制度执行</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sz w:val="32"/>
          <w:szCs w:val="32"/>
        </w:rPr>
        <w:t>切实提高资金的执行进度、使用效益和社会效益。</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二是</w:t>
      </w:r>
      <w:r>
        <w:rPr>
          <w:rFonts w:hint="eastAsia" w:ascii="仿宋_GB2312" w:hAnsi="仿宋_GB2312" w:eastAsia="仿宋_GB2312" w:cs="仿宋_GB2312"/>
          <w:color w:val="auto"/>
          <w:sz w:val="32"/>
          <w:szCs w:val="32"/>
          <w:lang w:eastAsia="zh-CN"/>
        </w:rPr>
        <w:t>加强资金使用管理，</w:t>
      </w:r>
      <w:r>
        <w:rPr>
          <w:rFonts w:hint="eastAsia" w:ascii="仿宋_GB2312" w:hAnsi="仿宋_GB2312" w:eastAsia="仿宋_GB2312" w:cs="仿宋_GB2312"/>
          <w:color w:val="auto"/>
          <w:sz w:val="32"/>
          <w:szCs w:val="32"/>
        </w:rPr>
        <w:t>提高资金使用效率。</w:t>
      </w:r>
      <w:r>
        <w:rPr>
          <w:rFonts w:hint="eastAsia" w:ascii="仿宋_GB2312" w:hAnsi="仿宋_GB2312" w:eastAsia="仿宋_GB2312" w:cs="仿宋_GB2312"/>
          <w:color w:val="auto"/>
          <w:sz w:val="32"/>
          <w:szCs w:val="32"/>
          <w:lang w:eastAsia="zh-CN"/>
        </w:rPr>
        <w:t>根据我院公益性科研院所的职能与特点，每年度预算经费中，财政按排固定而充足的农林技术研究专项经费。我院根据市委市政府中心工作，结合科研需要，顶层设计落实相关技术研究方向，强化资金使用过程的监督与管理，切实提高财政资金使用的社会效益。</w:t>
      </w:r>
    </w:p>
    <w:p>
      <w:pPr>
        <w:keepNext w:val="0"/>
        <w:keepLines w:val="0"/>
        <w:pageBreakBefore w:val="0"/>
        <w:widowControl w:val="0"/>
        <w:kinsoku/>
        <w:wordWrap/>
        <w:overflowPunct/>
        <w:topLinePunct w:val="0"/>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N/>
        <w:bidi w:val="0"/>
        <w:adjustRightInd/>
        <w:spacing w:line="560" w:lineRule="exact"/>
        <w:ind w:firstLine="616" w:firstLineChars="192"/>
        <w:jc w:val="center"/>
        <w:textAlignment w:val="auto"/>
        <w:rPr>
          <w:rFonts w:hint="eastAsia" w:ascii="仿宋_GB2312" w:hAnsi="仿宋_GB2312" w:eastAsia="仿宋_GB2312" w:cs="仿宋_GB2312"/>
          <w:b/>
          <w:bCs/>
          <w:sz w:val="32"/>
          <w:szCs w:val="32"/>
        </w:rPr>
        <w:sectPr>
          <w:pgSz w:w="11906" w:h="16838"/>
          <w:pgMar w:top="1440" w:right="1797" w:bottom="1440" w:left="1797" w:header="851" w:footer="992" w:gutter="0"/>
          <w:cols w:space="720" w:num="1"/>
          <w:docGrid w:type="lines" w:linePitch="312" w:charSpace="0"/>
        </w:sectPr>
      </w:pPr>
    </w:p>
    <w:p>
      <w:pPr>
        <w:spacing w:line="440" w:lineRule="exact"/>
        <w:ind w:firstLine="691" w:firstLineChars="192"/>
        <w:jc w:val="center"/>
        <w:rPr>
          <w:rFonts w:hint="eastAsia" w:ascii="宋体" w:hAnsi="宋体"/>
          <w:b/>
          <w:bCs/>
          <w:sz w:val="36"/>
          <w:szCs w:val="36"/>
        </w:rPr>
      </w:pPr>
      <w:r>
        <w:rPr>
          <w:rFonts w:hint="eastAsia" w:ascii="宋体" w:hAnsi="宋体"/>
          <w:b/>
          <w:bCs/>
          <w:sz w:val="36"/>
          <w:szCs w:val="36"/>
        </w:rPr>
        <w:t>市</w:t>
      </w:r>
      <w:r>
        <w:rPr>
          <w:rFonts w:hint="eastAsia" w:ascii="宋体" w:hAnsi="宋体"/>
          <w:b/>
          <w:bCs/>
          <w:sz w:val="36"/>
          <w:szCs w:val="36"/>
          <w:lang w:eastAsia="zh-CN"/>
        </w:rPr>
        <w:t>直</w:t>
      </w:r>
      <w:r>
        <w:rPr>
          <w:rFonts w:hint="eastAsia" w:ascii="宋体" w:hAnsi="宋体"/>
          <w:b/>
          <w:bCs/>
          <w:sz w:val="36"/>
          <w:szCs w:val="36"/>
        </w:rPr>
        <w:t>部门整体支出绩效评价基本情况表</w:t>
      </w:r>
    </w:p>
    <w:p>
      <w:pPr>
        <w:spacing w:line="440" w:lineRule="exact"/>
        <w:ind w:firstLine="403" w:firstLineChars="192"/>
        <w:jc w:val="center"/>
        <w:rPr>
          <w:rFonts w:hint="eastAsia"/>
        </w:rPr>
      </w:pPr>
      <w:r>
        <w:rPr>
          <w:rFonts w:hint="eastAsia"/>
        </w:rPr>
        <w:t xml:space="preserve">（  </w:t>
      </w:r>
      <w:r>
        <w:rPr>
          <w:rFonts w:hint="eastAsia"/>
          <w:lang w:val="en-US" w:eastAsia="zh-CN"/>
        </w:rPr>
        <w:t>2021</w:t>
      </w:r>
      <w:r>
        <w:rPr>
          <w:rFonts w:hint="eastAsia"/>
        </w:rPr>
        <w:t xml:space="preserve">  年度）</w:t>
      </w:r>
    </w:p>
    <w:p>
      <w:pPr>
        <w:spacing w:line="440" w:lineRule="exact"/>
        <w:ind w:firstLine="403" w:firstLineChars="192"/>
        <w:jc w:val="left"/>
        <w:rPr>
          <w:rFonts w:hint="eastAsia" w:eastAsia="宋体"/>
          <w:lang w:val="en-US" w:eastAsia="zh-CN"/>
        </w:rPr>
      </w:pPr>
      <w:r>
        <w:rPr>
          <w:rFonts w:hint="eastAsia"/>
        </w:rPr>
        <w:t>填报单位（盖章）：</w:t>
      </w:r>
      <w:r>
        <w:rPr>
          <w:rFonts w:hint="eastAsia"/>
          <w:lang w:eastAsia="zh-CN"/>
        </w:rPr>
        <w:t>丽水市农林科学研究院</w:t>
      </w:r>
    </w:p>
    <w:tbl>
      <w:tblPr>
        <w:tblStyle w:val="6"/>
        <w:tblW w:w="144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525"/>
        <w:gridCol w:w="2270"/>
        <w:gridCol w:w="1885"/>
        <w:gridCol w:w="360"/>
        <w:gridCol w:w="2865"/>
        <w:gridCol w:w="235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35" w:type="dxa"/>
            <w:noWrap w:val="0"/>
            <w:vAlign w:val="center"/>
          </w:tcPr>
          <w:p>
            <w:pPr>
              <w:widowControl/>
              <w:jc w:val="center"/>
              <w:rPr>
                <w:rFonts w:ascii="黑体" w:hAnsi="宋体" w:eastAsia="黑体" w:cs="宋体"/>
                <w:b w:val="0"/>
                <w:bCs w:val="0"/>
                <w:kern w:val="0"/>
                <w:sz w:val="24"/>
              </w:rPr>
            </w:pPr>
            <w:r>
              <w:rPr>
                <w:rFonts w:hint="eastAsia" w:ascii="黑体" w:hAnsi="宋体" w:eastAsia="黑体" w:cs="宋体"/>
                <w:b w:val="0"/>
                <w:bCs w:val="0"/>
                <w:kern w:val="0"/>
                <w:sz w:val="24"/>
              </w:rPr>
              <w:t>评价联系人</w:t>
            </w:r>
          </w:p>
        </w:tc>
        <w:tc>
          <w:tcPr>
            <w:tcW w:w="4680" w:type="dxa"/>
            <w:gridSpan w:val="3"/>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刘根华</w:t>
            </w:r>
          </w:p>
        </w:tc>
        <w:tc>
          <w:tcPr>
            <w:tcW w:w="3225" w:type="dxa"/>
            <w:gridSpan w:val="2"/>
            <w:noWrap w:val="0"/>
            <w:vAlign w:val="center"/>
          </w:tcPr>
          <w:p>
            <w:pPr>
              <w:widowControl/>
              <w:jc w:val="center"/>
              <w:rPr>
                <w:rFonts w:ascii="黑体" w:hAnsi="宋体" w:eastAsia="黑体" w:cs="宋体"/>
                <w:b w:val="0"/>
                <w:bCs w:val="0"/>
                <w:kern w:val="0"/>
                <w:sz w:val="24"/>
              </w:rPr>
            </w:pPr>
            <w:r>
              <w:rPr>
                <w:rFonts w:hint="eastAsia" w:ascii="黑体" w:hAnsi="宋体" w:eastAsia="黑体" w:cs="宋体"/>
                <w:b w:val="0"/>
                <w:bCs w:val="0"/>
                <w:kern w:val="0"/>
                <w:sz w:val="24"/>
              </w:rPr>
              <w:t xml:space="preserve"> 联系电话及手机</w:t>
            </w:r>
          </w:p>
        </w:tc>
        <w:tc>
          <w:tcPr>
            <w:tcW w:w="4875" w:type="dxa"/>
            <w:gridSpan w:val="2"/>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2028076   13666559419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35" w:type="dxa"/>
            <w:noWrap w:val="0"/>
            <w:vAlign w:val="center"/>
          </w:tcPr>
          <w:p>
            <w:pPr>
              <w:widowControl/>
              <w:jc w:val="center"/>
              <w:rPr>
                <w:rFonts w:ascii="黑体" w:hAnsi="宋体" w:eastAsia="黑体" w:cs="宋体"/>
                <w:b w:val="0"/>
                <w:bCs w:val="0"/>
                <w:kern w:val="0"/>
                <w:sz w:val="24"/>
              </w:rPr>
            </w:pPr>
            <w:r>
              <w:rPr>
                <w:rFonts w:hint="eastAsia" w:ascii="黑体" w:hAnsi="宋体" w:eastAsia="黑体" w:cs="宋体"/>
                <w:b w:val="0"/>
                <w:bCs w:val="0"/>
                <w:kern w:val="0"/>
                <w:sz w:val="24"/>
              </w:rPr>
              <w:t>人员编制数</w:t>
            </w:r>
          </w:p>
        </w:tc>
        <w:tc>
          <w:tcPr>
            <w:tcW w:w="4680" w:type="dxa"/>
            <w:gridSpan w:val="3"/>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96</w:t>
            </w:r>
          </w:p>
        </w:tc>
        <w:tc>
          <w:tcPr>
            <w:tcW w:w="3225" w:type="dxa"/>
            <w:gridSpan w:val="2"/>
            <w:noWrap w:val="0"/>
            <w:vAlign w:val="center"/>
          </w:tcPr>
          <w:p>
            <w:pPr>
              <w:widowControl/>
              <w:jc w:val="center"/>
              <w:rPr>
                <w:rFonts w:ascii="黑体" w:hAnsi="宋体" w:eastAsia="黑体" w:cs="宋体"/>
                <w:b w:val="0"/>
                <w:bCs w:val="0"/>
                <w:kern w:val="0"/>
                <w:sz w:val="24"/>
              </w:rPr>
            </w:pPr>
            <w:r>
              <w:rPr>
                <w:rFonts w:hint="eastAsia" w:ascii="黑体" w:hAnsi="宋体" w:eastAsia="黑体" w:cs="宋体"/>
                <w:b w:val="0"/>
                <w:bCs w:val="0"/>
                <w:kern w:val="0"/>
                <w:sz w:val="24"/>
              </w:rPr>
              <w:t xml:space="preserve"> 实有人数</w:t>
            </w:r>
          </w:p>
        </w:tc>
        <w:tc>
          <w:tcPr>
            <w:tcW w:w="4875" w:type="dxa"/>
            <w:gridSpan w:val="2"/>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635" w:type="dxa"/>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单位职能</w:t>
            </w:r>
          </w:p>
        </w:tc>
        <w:tc>
          <w:tcPr>
            <w:tcW w:w="12780" w:type="dxa"/>
            <w:gridSpan w:val="7"/>
            <w:noWrap w:val="0"/>
            <w:vAlign w:val="center"/>
          </w:tcPr>
          <w:p>
            <w:pPr>
              <w:spacing w:line="400" w:lineRule="exact"/>
              <w:rPr>
                <w:rFonts w:hint="eastAsia" w:ascii="宋体" w:hAnsi="宋体" w:cs="仿宋_GB2312"/>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仿宋_GB2312"/>
                <w:sz w:val="24"/>
                <w:lang w:val="en-US" w:eastAsia="zh-CN"/>
              </w:rPr>
              <w:t>1.</w:t>
            </w:r>
            <w:r>
              <w:rPr>
                <w:rFonts w:hint="eastAsia" w:ascii="宋体" w:hAnsi="宋体" w:cs="仿宋_GB2312"/>
                <w:sz w:val="24"/>
              </w:rPr>
              <w:t>承担全市农林业战略性、前瞻性和应用性项目研发和成果转化工作，组织全市农林业科技协同创新，支撑服务农林业发展的科技需求。</w:t>
            </w:r>
          </w:p>
          <w:p>
            <w:pPr>
              <w:spacing w:line="400" w:lineRule="exact"/>
              <w:ind w:firstLine="480" w:firstLineChars="200"/>
              <w:rPr>
                <w:rFonts w:hint="eastAsia" w:ascii="宋体" w:hAnsi="宋体" w:cs="仿宋_GB2312"/>
                <w:sz w:val="24"/>
              </w:rPr>
            </w:pPr>
            <w:r>
              <w:rPr>
                <w:rFonts w:hint="eastAsia" w:ascii="宋体" w:hAnsi="宋体" w:cs="仿宋_GB2312"/>
                <w:sz w:val="24"/>
                <w:lang w:val="en-US" w:eastAsia="zh-CN"/>
              </w:rPr>
              <w:t>2.</w:t>
            </w:r>
            <w:r>
              <w:rPr>
                <w:rFonts w:hint="eastAsia" w:ascii="宋体" w:hAnsi="宋体" w:cs="仿宋_GB2312"/>
                <w:sz w:val="24"/>
              </w:rPr>
              <w:t>承担全市粮油、食用菌、蔬菜、水干果、茶叶、中药材、畜牧、笋竹、木本油料等品种引进、良种选育、生态高效种养技术、设施农业及农林产品贮藏、保鲜、加工等领域的研发工作。</w:t>
            </w:r>
          </w:p>
          <w:p>
            <w:pPr>
              <w:spacing w:line="400" w:lineRule="exact"/>
              <w:ind w:firstLine="480" w:firstLineChars="200"/>
              <w:rPr>
                <w:rFonts w:hint="eastAsia" w:ascii="宋体" w:hAnsi="宋体" w:cs="仿宋_GB2312"/>
                <w:sz w:val="24"/>
              </w:rPr>
            </w:pPr>
            <w:r>
              <w:rPr>
                <w:rFonts w:hint="eastAsia" w:ascii="宋体" w:hAnsi="宋体" w:cs="仿宋_GB2312"/>
                <w:sz w:val="24"/>
                <w:lang w:val="en-US" w:eastAsia="zh-CN"/>
              </w:rPr>
              <w:t>3.</w:t>
            </w:r>
            <w:r>
              <w:rPr>
                <w:rFonts w:hint="eastAsia" w:ascii="宋体" w:hAnsi="宋体" w:cs="仿宋_GB2312"/>
                <w:sz w:val="24"/>
              </w:rPr>
              <w:t>开展森林生态环境功能与修复、野生动植物保护与利用、种苗花卉、森林培育、生态公益林和森林景观建设等领域的研发工作。</w:t>
            </w:r>
          </w:p>
          <w:p>
            <w:pPr>
              <w:spacing w:line="400" w:lineRule="exact"/>
              <w:ind w:firstLine="480" w:firstLineChars="200"/>
              <w:rPr>
                <w:rFonts w:hint="eastAsia" w:ascii="宋体" w:hAnsi="宋体" w:cs="仿宋_GB2312"/>
                <w:sz w:val="24"/>
              </w:rPr>
            </w:pPr>
            <w:r>
              <w:rPr>
                <w:rFonts w:hint="eastAsia" w:ascii="宋体" w:hAnsi="宋体" w:cs="仿宋_GB2312"/>
                <w:sz w:val="24"/>
                <w:lang w:val="en-US" w:eastAsia="zh-CN"/>
              </w:rPr>
              <w:t>4.</w:t>
            </w:r>
            <w:r>
              <w:rPr>
                <w:rFonts w:hint="eastAsia" w:ascii="宋体" w:hAnsi="宋体" w:cs="仿宋_GB2312"/>
                <w:sz w:val="24"/>
              </w:rPr>
              <w:t>开展农林业标准化、农林业循环经济和产业化发展的研究。</w:t>
            </w:r>
          </w:p>
          <w:p>
            <w:pPr>
              <w:spacing w:line="400" w:lineRule="exact"/>
              <w:ind w:firstLine="480" w:firstLineChars="200"/>
              <w:rPr>
                <w:rFonts w:hint="eastAsia" w:ascii="宋体" w:hAnsi="宋体" w:cs="仿宋_GB2312"/>
                <w:sz w:val="24"/>
              </w:rPr>
            </w:pPr>
            <w:r>
              <w:rPr>
                <w:rFonts w:hint="eastAsia" w:ascii="宋体" w:hAnsi="宋体" w:cs="仿宋_GB2312"/>
                <w:sz w:val="24"/>
                <w:lang w:val="en-US" w:eastAsia="zh-CN"/>
              </w:rPr>
              <w:t>5.</w:t>
            </w:r>
            <w:r>
              <w:rPr>
                <w:rFonts w:hint="eastAsia" w:ascii="宋体" w:hAnsi="宋体" w:cs="仿宋_GB2312"/>
                <w:sz w:val="24"/>
              </w:rPr>
              <w:t>开展农林业科技创新与成果熟化，建立科技示范基地，开展成果转化与科技服务工作。</w:t>
            </w:r>
          </w:p>
          <w:p>
            <w:pPr>
              <w:spacing w:line="400" w:lineRule="exact"/>
              <w:ind w:firstLine="480" w:firstLineChars="200"/>
              <w:rPr>
                <w:rFonts w:hint="eastAsia" w:ascii="宋体" w:hAnsi="宋体" w:cs="仿宋_GB2312"/>
                <w:sz w:val="24"/>
              </w:rPr>
            </w:pPr>
            <w:r>
              <w:rPr>
                <w:rFonts w:hint="eastAsia" w:ascii="宋体" w:hAnsi="宋体" w:cs="仿宋_GB2312"/>
                <w:sz w:val="24"/>
                <w:lang w:val="en-US" w:eastAsia="zh-CN"/>
              </w:rPr>
              <w:t>6.</w:t>
            </w:r>
            <w:r>
              <w:rPr>
                <w:rFonts w:hint="eastAsia" w:ascii="宋体" w:hAnsi="宋体" w:cs="仿宋_GB2312"/>
                <w:sz w:val="24"/>
              </w:rPr>
              <w:t>建设维护丽水农科教旅一体化（松阳）基地等院属科研基地和科技创新平台。</w:t>
            </w:r>
          </w:p>
          <w:p>
            <w:pPr>
              <w:spacing w:line="400" w:lineRule="exact"/>
              <w:ind w:firstLine="480" w:firstLineChars="200"/>
              <w:rPr>
                <w:rFonts w:hint="eastAsia" w:ascii="宋体" w:hAnsi="宋体" w:cs="仿宋_GB2312"/>
                <w:sz w:val="24"/>
              </w:rPr>
            </w:pPr>
            <w:r>
              <w:rPr>
                <w:rFonts w:hint="eastAsia" w:ascii="宋体" w:hAnsi="宋体" w:cs="仿宋_GB2312"/>
                <w:sz w:val="24"/>
                <w:lang w:val="en-US" w:eastAsia="zh-CN"/>
              </w:rPr>
              <w:t>7.完</w:t>
            </w:r>
            <w:r>
              <w:rPr>
                <w:rFonts w:hint="eastAsia" w:ascii="宋体" w:hAnsi="宋体" w:cs="仿宋_GB2312"/>
                <w:sz w:val="24"/>
              </w:rPr>
              <w:t>成市委、市政府交办的其他任务。</w:t>
            </w:r>
          </w:p>
          <w:p>
            <w:pPr>
              <w:spacing w:line="400" w:lineRule="exact"/>
              <w:ind w:firstLine="480" w:firstLineChars="200"/>
              <w:rPr>
                <w:rFonts w:hint="eastAsia" w:ascii="宋体" w:hAnsi="宋体" w:cs="仿宋_GB2312"/>
                <w:sz w:val="24"/>
              </w:rPr>
            </w:pPr>
          </w:p>
          <w:p>
            <w:pPr>
              <w:spacing w:line="400" w:lineRule="exact"/>
              <w:ind w:firstLine="480" w:firstLineChars="200"/>
              <w:rPr>
                <w:rFonts w:hint="eastAsia" w:ascii="宋体" w:hAnsi="宋体" w:cs="仿宋_GB2312"/>
                <w:sz w:val="24"/>
              </w:rPr>
            </w:pPr>
          </w:p>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415" w:type="dxa"/>
            <w:gridSpan w:val="8"/>
            <w:noWrap w:val="0"/>
            <w:vAlign w:val="center"/>
          </w:tcPr>
          <w:p>
            <w:pPr>
              <w:widowControl/>
              <w:jc w:val="center"/>
              <w:rPr>
                <w:rFonts w:hint="eastAsia" w:ascii="黑体" w:hAnsi="宋体" w:eastAsia="黑体" w:cs="宋体"/>
                <w:b/>
                <w:bCs/>
                <w:kern w:val="0"/>
                <w:sz w:val="24"/>
              </w:rPr>
            </w:pPr>
          </w:p>
          <w:p>
            <w:pPr>
              <w:widowControl/>
              <w:jc w:val="center"/>
              <w:rPr>
                <w:rFonts w:hint="eastAsia" w:ascii="黑体" w:hAnsi="宋体" w:eastAsia="黑体" w:cs="宋体"/>
                <w:b/>
                <w:bCs/>
                <w:kern w:val="0"/>
                <w:sz w:val="24"/>
              </w:rPr>
            </w:pPr>
          </w:p>
          <w:p>
            <w:pPr>
              <w:widowControl/>
              <w:jc w:val="center"/>
              <w:rPr>
                <w:rFonts w:hint="eastAsia" w:ascii="黑体" w:hAnsi="宋体" w:eastAsia="黑体" w:cs="宋体"/>
                <w:b/>
                <w:bCs/>
                <w:kern w:val="0"/>
                <w:sz w:val="24"/>
              </w:rPr>
            </w:pPr>
          </w:p>
          <w:p>
            <w:pPr>
              <w:widowControl/>
              <w:jc w:val="center"/>
              <w:rPr>
                <w:rFonts w:hint="eastAsia" w:ascii="黑体" w:hAnsi="宋体" w:eastAsia="黑体" w:cs="宋体"/>
                <w:b/>
                <w:bCs/>
                <w:kern w:val="0"/>
                <w:sz w:val="24"/>
              </w:rPr>
            </w:pPr>
          </w:p>
          <w:p>
            <w:pPr>
              <w:widowControl/>
              <w:jc w:val="center"/>
              <w:rPr>
                <w:rFonts w:hint="eastAsia" w:ascii="黑体" w:hAnsi="宋体" w:eastAsia="黑体" w:cs="宋体"/>
                <w:b/>
                <w:bCs/>
                <w:kern w:val="0"/>
                <w:sz w:val="24"/>
              </w:rPr>
            </w:pPr>
          </w:p>
          <w:p>
            <w:pPr>
              <w:widowControl/>
              <w:jc w:val="center"/>
              <w:rPr>
                <w:rFonts w:ascii="黑体" w:hAnsi="宋体" w:eastAsia="黑体" w:cs="宋体"/>
                <w:b/>
                <w:bCs/>
                <w:kern w:val="0"/>
                <w:sz w:val="24"/>
              </w:rPr>
            </w:pPr>
            <w:r>
              <w:rPr>
                <w:rFonts w:hint="eastAsia" w:ascii="黑体" w:hAnsi="宋体" w:eastAsia="黑体" w:cs="宋体"/>
                <w:b/>
                <w:bCs/>
                <w:kern w:val="0"/>
                <w:sz w:val="24"/>
              </w:rPr>
              <w:t>单位年度实际收入（万元）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160" w:type="dxa"/>
            <w:gridSpan w:val="2"/>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收入合计</w:t>
            </w:r>
          </w:p>
        </w:tc>
        <w:tc>
          <w:tcPr>
            <w:tcW w:w="12255" w:type="dxa"/>
            <w:gridSpan w:val="6"/>
            <w:noWrap w:val="0"/>
            <w:vAlign w:val="center"/>
          </w:tcPr>
          <w:p>
            <w:pPr>
              <w:widowControl/>
              <w:jc w:val="left"/>
              <w:rPr>
                <w:rFonts w:ascii="黑体" w:hAnsi="宋体" w:eastAsia="黑体" w:cs="宋体"/>
                <w:kern w:val="0"/>
                <w:sz w:val="24"/>
              </w:rPr>
            </w:pPr>
            <w:r>
              <w:rPr>
                <w:rFonts w:hint="eastAsia" w:ascii="黑体" w:hAnsi="宋体" w:eastAsia="黑体" w:cs="宋体"/>
                <w:kern w:val="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160" w:type="dxa"/>
            <w:gridSpan w:val="2"/>
            <w:vMerge w:val="continue"/>
            <w:noWrap w:val="0"/>
            <w:vAlign w:val="center"/>
          </w:tcPr>
          <w:p>
            <w:pPr>
              <w:widowControl/>
              <w:jc w:val="left"/>
              <w:rPr>
                <w:rFonts w:ascii="黑体" w:hAnsi="宋体" w:eastAsia="黑体" w:cs="宋体"/>
                <w:kern w:val="0"/>
                <w:sz w:val="24"/>
              </w:rPr>
            </w:pPr>
          </w:p>
        </w:tc>
        <w:tc>
          <w:tcPr>
            <w:tcW w:w="2270" w:type="dxa"/>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上年结转结余</w:t>
            </w:r>
          </w:p>
        </w:tc>
        <w:tc>
          <w:tcPr>
            <w:tcW w:w="2245" w:type="dxa"/>
            <w:gridSpan w:val="2"/>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财政拨款收入</w:t>
            </w:r>
          </w:p>
        </w:tc>
        <w:tc>
          <w:tcPr>
            <w:tcW w:w="2865" w:type="dxa"/>
            <w:noWrap w:val="0"/>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上级补助收入</w:t>
            </w:r>
          </w:p>
        </w:tc>
        <w:tc>
          <w:tcPr>
            <w:tcW w:w="2355" w:type="dxa"/>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事业收入</w:t>
            </w:r>
          </w:p>
        </w:tc>
        <w:tc>
          <w:tcPr>
            <w:tcW w:w="2520" w:type="dxa"/>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经营收入及其他收入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160" w:type="dxa"/>
            <w:gridSpan w:val="2"/>
            <w:noWrap w:val="0"/>
            <w:vAlign w:val="center"/>
          </w:tcPr>
          <w:p>
            <w:pPr>
              <w:widowControl/>
              <w:jc w:val="center"/>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5557.5</w:t>
            </w:r>
          </w:p>
        </w:tc>
        <w:tc>
          <w:tcPr>
            <w:tcW w:w="2270" w:type="dxa"/>
            <w:noWrap w:val="0"/>
            <w:vAlign w:val="center"/>
          </w:tcPr>
          <w:p>
            <w:pPr>
              <w:widowControl/>
              <w:jc w:val="center"/>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1370.51</w:t>
            </w:r>
          </w:p>
        </w:tc>
        <w:tc>
          <w:tcPr>
            <w:tcW w:w="2245" w:type="dxa"/>
            <w:gridSpan w:val="2"/>
            <w:noWrap w:val="0"/>
            <w:vAlign w:val="center"/>
          </w:tcPr>
          <w:p>
            <w:pPr>
              <w:widowControl/>
              <w:jc w:val="center"/>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3867.42</w:t>
            </w:r>
          </w:p>
        </w:tc>
        <w:tc>
          <w:tcPr>
            <w:tcW w:w="2865" w:type="dxa"/>
            <w:noWrap w:val="0"/>
            <w:vAlign w:val="center"/>
          </w:tcPr>
          <w:p>
            <w:pPr>
              <w:widowControl/>
              <w:jc w:val="center"/>
              <w:rPr>
                <w:rFonts w:hint="eastAsia" w:ascii="黑体" w:hAnsi="宋体" w:eastAsia="黑体" w:cs="宋体"/>
                <w:kern w:val="0"/>
                <w:sz w:val="24"/>
                <w:lang w:val="en-US" w:eastAsia="zh-CN"/>
              </w:rPr>
            </w:pPr>
          </w:p>
        </w:tc>
        <w:tc>
          <w:tcPr>
            <w:tcW w:w="2355" w:type="dxa"/>
            <w:noWrap w:val="0"/>
            <w:vAlign w:val="center"/>
          </w:tcPr>
          <w:p>
            <w:pPr>
              <w:widowControl/>
              <w:jc w:val="center"/>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235.57</w:t>
            </w:r>
          </w:p>
        </w:tc>
        <w:tc>
          <w:tcPr>
            <w:tcW w:w="2520" w:type="dxa"/>
            <w:noWrap w:val="0"/>
            <w:vAlign w:val="center"/>
          </w:tcPr>
          <w:p>
            <w:pPr>
              <w:widowControl/>
              <w:jc w:val="center"/>
              <w:rPr>
                <w:rFonts w:hint="default" w:ascii="黑体" w:hAnsi="宋体" w:eastAsia="黑体" w:cs="宋体"/>
                <w:kern w:val="0"/>
                <w:sz w:val="24"/>
                <w:lang w:val="en-US" w:eastAsia="zh-CN"/>
              </w:rPr>
            </w:pPr>
            <w:r>
              <w:rPr>
                <w:rFonts w:hint="eastAsia" w:ascii="黑体" w:hAnsi="宋体" w:eastAsia="黑体" w:cs="宋体"/>
                <w:kern w:val="0"/>
                <w:sz w:val="24"/>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4415" w:type="dxa"/>
            <w:gridSpan w:val="8"/>
            <w:noWrap w:val="0"/>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单位年度实际支出（万元）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0" w:type="dxa"/>
            <w:gridSpan w:val="2"/>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支出合计</w:t>
            </w:r>
          </w:p>
        </w:tc>
        <w:tc>
          <w:tcPr>
            <w:tcW w:w="12255" w:type="dxa"/>
            <w:gridSpan w:val="6"/>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0" w:type="dxa"/>
            <w:gridSpan w:val="2"/>
            <w:vMerge w:val="continue"/>
            <w:noWrap w:val="0"/>
            <w:vAlign w:val="center"/>
          </w:tcPr>
          <w:p>
            <w:pPr>
              <w:widowControl/>
              <w:jc w:val="center"/>
              <w:rPr>
                <w:rFonts w:ascii="黑体" w:hAnsi="宋体" w:eastAsia="黑体" w:cs="宋体"/>
                <w:kern w:val="0"/>
                <w:sz w:val="24"/>
              </w:rPr>
            </w:pPr>
          </w:p>
        </w:tc>
        <w:tc>
          <w:tcPr>
            <w:tcW w:w="2270" w:type="dxa"/>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基本支出</w:t>
            </w:r>
          </w:p>
        </w:tc>
        <w:tc>
          <w:tcPr>
            <w:tcW w:w="5110" w:type="dxa"/>
            <w:gridSpan w:val="3"/>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其中:</w:t>
            </w:r>
          </w:p>
        </w:tc>
        <w:tc>
          <w:tcPr>
            <w:tcW w:w="2355" w:type="dxa"/>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项目支出</w:t>
            </w:r>
          </w:p>
        </w:tc>
        <w:tc>
          <w:tcPr>
            <w:tcW w:w="2520" w:type="dxa"/>
            <w:vMerge w:val="restart"/>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经营支出及其他支出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60" w:type="dxa"/>
            <w:gridSpan w:val="2"/>
            <w:vMerge w:val="continue"/>
            <w:noWrap w:val="0"/>
            <w:vAlign w:val="center"/>
          </w:tcPr>
          <w:p>
            <w:pPr>
              <w:widowControl/>
              <w:jc w:val="center"/>
              <w:rPr>
                <w:rFonts w:ascii="黑体" w:hAnsi="宋体" w:eastAsia="黑体" w:cs="宋体"/>
                <w:kern w:val="0"/>
                <w:sz w:val="24"/>
              </w:rPr>
            </w:pPr>
          </w:p>
        </w:tc>
        <w:tc>
          <w:tcPr>
            <w:tcW w:w="2270" w:type="dxa"/>
            <w:vMerge w:val="continue"/>
            <w:noWrap w:val="0"/>
            <w:vAlign w:val="center"/>
          </w:tcPr>
          <w:p>
            <w:pPr>
              <w:widowControl/>
              <w:jc w:val="center"/>
              <w:rPr>
                <w:rFonts w:ascii="黑体" w:hAnsi="宋体" w:eastAsia="黑体" w:cs="宋体"/>
                <w:kern w:val="0"/>
                <w:sz w:val="24"/>
              </w:rPr>
            </w:pPr>
          </w:p>
        </w:tc>
        <w:tc>
          <w:tcPr>
            <w:tcW w:w="2245" w:type="dxa"/>
            <w:gridSpan w:val="2"/>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人员支出</w:t>
            </w:r>
          </w:p>
        </w:tc>
        <w:tc>
          <w:tcPr>
            <w:tcW w:w="2865" w:type="dxa"/>
            <w:noWrap w:val="0"/>
            <w:vAlign w:val="center"/>
          </w:tcPr>
          <w:p>
            <w:pPr>
              <w:widowControl/>
              <w:jc w:val="center"/>
              <w:rPr>
                <w:rFonts w:ascii="黑体" w:hAnsi="宋体" w:eastAsia="黑体" w:cs="宋体"/>
                <w:kern w:val="0"/>
                <w:sz w:val="24"/>
              </w:rPr>
            </w:pPr>
            <w:r>
              <w:rPr>
                <w:rFonts w:hint="eastAsia" w:ascii="黑体" w:hAnsi="宋体" w:eastAsia="黑体" w:cs="宋体"/>
                <w:kern w:val="0"/>
                <w:sz w:val="24"/>
              </w:rPr>
              <w:t>日常公用支出</w:t>
            </w:r>
          </w:p>
        </w:tc>
        <w:tc>
          <w:tcPr>
            <w:tcW w:w="2355" w:type="dxa"/>
            <w:vMerge w:val="continue"/>
            <w:noWrap w:val="0"/>
            <w:vAlign w:val="center"/>
          </w:tcPr>
          <w:p>
            <w:pPr>
              <w:widowControl/>
              <w:jc w:val="center"/>
              <w:rPr>
                <w:rFonts w:ascii="黑体" w:hAnsi="宋体" w:eastAsia="黑体" w:cs="宋体"/>
                <w:kern w:val="0"/>
                <w:sz w:val="24"/>
              </w:rPr>
            </w:pPr>
          </w:p>
        </w:tc>
        <w:tc>
          <w:tcPr>
            <w:tcW w:w="2520" w:type="dxa"/>
            <w:vMerge w:val="continue"/>
            <w:noWrap w:val="0"/>
            <w:vAlign w:val="center"/>
          </w:tcPr>
          <w:p>
            <w:pPr>
              <w:widowControl/>
              <w:jc w:val="left"/>
              <w:rPr>
                <w:rFonts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60" w:type="dxa"/>
            <w:gridSpan w:val="2"/>
            <w:noWrap w:val="0"/>
            <w:vAlign w:val="center"/>
          </w:tcPr>
          <w:p>
            <w:pPr>
              <w:widowControl/>
              <w:jc w:val="center"/>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5051.41</w:t>
            </w:r>
          </w:p>
        </w:tc>
        <w:tc>
          <w:tcPr>
            <w:tcW w:w="2270" w:type="dxa"/>
            <w:noWrap w:val="0"/>
            <w:vAlign w:val="center"/>
          </w:tcPr>
          <w:p>
            <w:pPr>
              <w:widowControl/>
              <w:jc w:val="center"/>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3188.48</w:t>
            </w:r>
          </w:p>
        </w:tc>
        <w:tc>
          <w:tcPr>
            <w:tcW w:w="2245" w:type="dxa"/>
            <w:gridSpan w:val="2"/>
            <w:noWrap w:val="0"/>
            <w:vAlign w:val="center"/>
          </w:tcPr>
          <w:p>
            <w:pPr>
              <w:widowControl/>
              <w:jc w:val="center"/>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2859.76</w:t>
            </w:r>
          </w:p>
        </w:tc>
        <w:tc>
          <w:tcPr>
            <w:tcW w:w="2865" w:type="dxa"/>
            <w:noWrap w:val="0"/>
            <w:vAlign w:val="center"/>
          </w:tcPr>
          <w:p>
            <w:pPr>
              <w:widowControl/>
              <w:jc w:val="center"/>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328.72</w:t>
            </w:r>
          </w:p>
        </w:tc>
        <w:tc>
          <w:tcPr>
            <w:tcW w:w="2355" w:type="dxa"/>
            <w:noWrap w:val="0"/>
            <w:vAlign w:val="center"/>
          </w:tcPr>
          <w:p>
            <w:pPr>
              <w:widowControl/>
              <w:jc w:val="center"/>
              <w:rPr>
                <w:rFonts w:hint="eastAsia" w:ascii="黑体" w:hAnsi="宋体" w:eastAsia="黑体" w:cs="宋体"/>
                <w:kern w:val="0"/>
                <w:sz w:val="24"/>
                <w:lang w:val="en-US" w:eastAsia="zh-CN"/>
              </w:rPr>
            </w:pPr>
            <w:r>
              <w:rPr>
                <w:rFonts w:hint="eastAsia" w:ascii="黑体" w:hAnsi="宋体" w:eastAsia="黑体" w:cs="宋体"/>
                <w:kern w:val="0"/>
                <w:sz w:val="24"/>
                <w:lang w:val="en-US" w:eastAsia="zh-CN"/>
              </w:rPr>
              <w:t>1862.93</w:t>
            </w:r>
          </w:p>
        </w:tc>
        <w:tc>
          <w:tcPr>
            <w:tcW w:w="2520" w:type="dxa"/>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415" w:type="dxa"/>
            <w:gridSpan w:val="8"/>
            <w:noWrap w:val="0"/>
            <w:vAlign w:val="center"/>
          </w:tcPr>
          <w:p>
            <w:pPr>
              <w:widowControl/>
              <w:jc w:val="center"/>
              <w:rPr>
                <w:rFonts w:hint="eastAsia" w:ascii="宋体" w:hAnsi="宋体" w:cs="宋体"/>
                <w:kern w:val="0"/>
                <w:sz w:val="24"/>
              </w:rPr>
            </w:pPr>
            <w:r>
              <w:rPr>
                <w:rFonts w:hint="eastAsia" w:ascii="黑体" w:hAnsi="宋体" w:eastAsia="黑体" w:cs="宋体"/>
                <w:b/>
                <w:bCs/>
                <w:kern w:val="0"/>
                <w:sz w:val="24"/>
              </w:rPr>
              <w:t>年度绩效状况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1635" w:type="dxa"/>
            <w:noWrap w:val="0"/>
            <w:vAlign w:val="center"/>
          </w:tcPr>
          <w:p>
            <w:pPr>
              <w:widowControl/>
              <w:jc w:val="center"/>
              <w:rPr>
                <w:rFonts w:ascii="黑体" w:hAnsi="宋体" w:eastAsia="黑体" w:cs="宋体"/>
                <w:b/>
                <w:bCs/>
                <w:color w:val="auto"/>
                <w:kern w:val="0"/>
                <w:sz w:val="24"/>
              </w:rPr>
            </w:pPr>
            <w:r>
              <w:rPr>
                <w:rFonts w:hint="eastAsia" w:ascii="黑体" w:hAnsi="宋体" w:eastAsia="黑体" w:cs="宋体"/>
                <w:b w:val="0"/>
                <w:bCs w:val="0"/>
                <w:color w:val="auto"/>
                <w:kern w:val="0"/>
                <w:sz w:val="24"/>
              </w:rPr>
              <w:t>单位</w:t>
            </w:r>
            <w:r>
              <w:rPr>
                <w:rFonts w:hint="eastAsia" w:ascii="黑体" w:hAnsi="黑体" w:eastAsia="黑体" w:cs="黑体"/>
                <w:b w:val="0"/>
                <w:bCs w:val="0"/>
                <w:color w:val="auto"/>
                <w:sz w:val="24"/>
              </w:rPr>
              <w:t>年度财政支出整体绩效目标总体描述</w:t>
            </w:r>
          </w:p>
        </w:tc>
        <w:tc>
          <w:tcPr>
            <w:tcW w:w="12780" w:type="dxa"/>
            <w:gridSpan w:val="7"/>
            <w:noWrap w:val="0"/>
            <w:vAlign w:val="center"/>
          </w:tcPr>
          <w:p>
            <w:pPr>
              <w:numPr>
                <w:ilvl w:val="0"/>
                <w:numId w:val="0"/>
              </w:numPr>
              <w:autoSpaceDE w:val="0"/>
              <w:spacing w:line="360" w:lineRule="auto"/>
              <w:ind w:firstLine="420" w:firstLineChars="200"/>
              <w:rPr>
                <w:rFonts w:hint="eastAsia" w:ascii="宋体" w:hAnsi="宋体" w:eastAsia="宋体" w:cs="宋体"/>
                <w:color w:val="auto"/>
                <w:sz w:val="21"/>
                <w:szCs w:val="21"/>
              </w:rPr>
            </w:pPr>
            <w:r>
              <w:rPr>
                <w:rFonts w:hint="eastAsia" w:ascii="宋体" w:hAnsi="宋体" w:cs="宋体"/>
                <w:color w:val="auto"/>
                <w:kern w:val="0"/>
                <w:sz w:val="21"/>
                <w:szCs w:val="21"/>
              </w:rPr>
              <w:t xml:space="preserve">  </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 xml:space="preserve"> </w:t>
            </w:r>
            <w:r>
              <w:rPr>
                <w:rFonts w:hint="eastAsia" w:ascii="宋体" w:hAnsi="宋体" w:eastAsia="宋体" w:cs="宋体"/>
                <w:color w:val="auto"/>
                <w:sz w:val="21"/>
                <w:szCs w:val="21"/>
              </w:rPr>
              <w:t>深化创新驱动，强化技术创新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科研能力</w:t>
            </w:r>
            <w:r>
              <w:rPr>
                <w:rFonts w:hint="eastAsia" w:ascii="宋体" w:hAnsi="宋体" w:eastAsia="宋体" w:cs="宋体"/>
                <w:color w:val="auto"/>
                <w:sz w:val="21"/>
                <w:szCs w:val="21"/>
                <w:lang w:eastAsia="zh-CN"/>
              </w:rPr>
              <w:t>取得较大的提升；</w:t>
            </w:r>
            <w:r>
              <w:rPr>
                <w:rFonts w:hint="eastAsia" w:ascii="宋体" w:hAnsi="宋体" w:eastAsia="宋体" w:cs="宋体"/>
                <w:color w:val="auto"/>
                <w:sz w:val="21"/>
                <w:szCs w:val="21"/>
              </w:rPr>
              <w:t>推进种业创新，助力</w:t>
            </w:r>
            <w:r>
              <w:rPr>
                <w:rFonts w:hint="eastAsia" w:ascii="宋体" w:hAnsi="宋体" w:eastAsia="宋体" w:cs="宋体"/>
                <w:color w:val="auto"/>
                <w:sz w:val="21"/>
                <w:szCs w:val="21"/>
                <w:lang w:eastAsia="zh-CN"/>
              </w:rPr>
              <w:t>全市农</w:t>
            </w:r>
            <w:r>
              <w:rPr>
                <w:rFonts w:hint="eastAsia" w:ascii="宋体" w:hAnsi="宋体" w:cs="宋体"/>
                <w:color w:val="auto"/>
                <w:sz w:val="21"/>
                <w:szCs w:val="21"/>
                <w:lang w:eastAsia="zh-CN"/>
              </w:rPr>
              <w:t>林</w:t>
            </w:r>
            <w:r>
              <w:rPr>
                <w:rFonts w:hint="eastAsia" w:ascii="宋体" w:hAnsi="宋体" w:eastAsia="宋体" w:cs="宋体"/>
                <w:color w:val="auto"/>
                <w:sz w:val="21"/>
                <w:szCs w:val="21"/>
              </w:rPr>
              <w:t>产业</w:t>
            </w:r>
            <w:r>
              <w:rPr>
                <w:rFonts w:hint="eastAsia" w:ascii="宋体" w:hAnsi="宋体" w:eastAsia="宋体" w:cs="宋体"/>
                <w:color w:val="auto"/>
                <w:sz w:val="21"/>
                <w:szCs w:val="21"/>
                <w:lang w:eastAsia="zh-CN"/>
              </w:rPr>
              <w:t>得到有效的</w:t>
            </w:r>
            <w:r>
              <w:rPr>
                <w:rFonts w:hint="eastAsia" w:ascii="宋体" w:hAnsi="宋体" w:eastAsia="宋体" w:cs="宋体"/>
                <w:color w:val="auto"/>
                <w:sz w:val="21"/>
                <w:szCs w:val="21"/>
              </w:rPr>
              <w:t>发展</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平台建设取得显著成效，</w:t>
            </w:r>
            <w:r>
              <w:rPr>
                <w:rFonts w:hint="eastAsia" w:ascii="宋体" w:hAnsi="宋体" w:cs="宋体"/>
                <w:color w:val="auto"/>
                <w:kern w:val="0"/>
                <w:sz w:val="21"/>
                <w:szCs w:val="21"/>
                <w:lang w:eastAsia="zh-CN"/>
              </w:rPr>
              <w:t>建成浙江省茶树种质资源圃，</w:t>
            </w:r>
            <w:r>
              <w:rPr>
                <w:rFonts w:hint="eastAsia" w:ascii="宋体" w:hAnsi="宋体" w:eastAsia="宋体" w:cs="宋体"/>
                <w:color w:val="auto"/>
                <w:sz w:val="21"/>
                <w:szCs w:val="21"/>
                <w:lang w:eastAsia="zh-CN"/>
              </w:rPr>
              <w:t>成</w:t>
            </w:r>
            <w:r>
              <w:rPr>
                <w:rFonts w:hint="eastAsia" w:ascii="宋体" w:hAnsi="宋体" w:cs="宋体"/>
                <w:color w:val="auto"/>
                <w:sz w:val="21"/>
                <w:szCs w:val="21"/>
                <w:lang w:eastAsia="zh-CN"/>
              </w:rPr>
              <w:t>功签约</w:t>
            </w:r>
            <w:r>
              <w:rPr>
                <w:rFonts w:hint="eastAsia" w:ascii="宋体" w:hAnsi="宋体" w:eastAsia="宋体" w:cs="宋体"/>
                <w:color w:val="auto"/>
                <w:sz w:val="21"/>
                <w:szCs w:val="21"/>
                <w:shd w:val="clear" w:color="auto" w:fill="FFFFFF"/>
              </w:rPr>
              <w:t>丽水市人民政府、中国农业科学院茶叶研究所、松阳县人民政府三方合作共建“中国农业科学院茶叶研究所长三角创新中</w:t>
            </w:r>
            <w:r>
              <w:rPr>
                <w:rFonts w:hint="eastAsia" w:ascii="宋体" w:hAnsi="宋体" w:eastAsia="宋体" w:cs="宋体"/>
                <w:color w:val="auto"/>
                <w:sz w:val="21"/>
                <w:szCs w:val="21"/>
              </w:rPr>
              <w:t>心”</w:t>
            </w:r>
            <w:r>
              <w:rPr>
                <w:rFonts w:hint="eastAsia" w:ascii="宋体" w:hAnsi="宋体" w:cs="宋体"/>
                <w:color w:val="auto"/>
                <w:sz w:val="21"/>
                <w:szCs w:val="21"/>
                <w:lang w:eastAsia="zh-CN"/>
              </w:rPr>
              <w:t>新型研发机构。</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科技服务成效明显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全面推进“三服务”，助力高质量绿色发展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发挥人才优势，</w:t>
            </w:r>
            <w:r>
              <w:rPr>
                <w:rFonts w:hint="eastAsia" w:ascii="宋体" w:hAnsi="宋体" w:eastAsia="宋体" w:cs="宋体"/>
                <w:color w:val="auto"/>
                <w:sz w:val="21"/>
                <w:szCs w:val="21"/>
                <w:lang w:eastAsia="zh-CN"/>
              </w:rPr>
              <w:t>深入推进“</w:t>
            </w:r>
            <w:r>
              <w:rPr>
                <w:rFonts w:hint="eastAsia" w:ascii="宋体" w:hAnsi="宋体" w:eastAsia="宋体" w:cs="宋体"/>
                <w:color w:val="auto"/>
                <w:sz w:val="21"/>
                <w:szCs w:val="21"/>
              </w:rPr>
              <w:t>产学研用</w:t>
            </w:r>
            <w:r>
              <w:rPr>
                <w:rFonts w:hint="eastAsia" w:ascii="宋体" w:hAnsi="宋体" w:eastAsia="宋体" w:cs="宋体"/>
                <w:color w:val="auto"/>
                <w:sz w:val="21"/>
                <w:szCs w:val="21"/>
                <w:lang w:eastAsia="zh-CN"/>
              </w:rPr>
              <w:t>”工作，</w:t>
            </w:r>
            <w:r>
              <w:rPr>
                <w:rFonts w:hint="eastAsia" w:ascii="宋体" w:hAnsi="宋体" w:eastAsia="宋体" w:cs="宋体"/>
                <w:color w:val="auto"/>
                <w:sz w:val="21"/>
                <w:szCs w:val="21"/>
              </w:rPr>
              <w:t>以技术专家、团队形式为各乡镇农企提供</w:t>
            </w:r>
            <w:r>
              <w:rPr>
                <w:rFonts w:hint="eastAsia" w:ascii="宋体" w:hAnsi="宋体" w:eastAsia="宋体" w:cs="宋体"/>
                <w:color w:val="auto"/>
                <w:sz w:val="21"/>
                <w:szCs w:val="21"/>
                <w:lang w:eastAsia="zh-CN"/>
              </w:rPr>
              <w:t>技术支撑。</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强化院地合作，</w:t>
            </w:r>
            <w:r>
              <w:rPr>
                <w:rFonts w:hint="eastAsia" w:ascii="宋体" w:hAnsi="宋体" w:eastAsia="宋体" w:cs="宋体"/>
                <w:color w:val="auto"/>
                <w:sz w:val="21"/>
                <w:szCs w:val="21"/>
                <w:lang w:eastAsia="zh-CN"/>
              </w:rPr>
              <w:t>提升</w:t>
            </w:r>
            <w:r>
              <w:rPr>
                <w:rFonts w:hint="eastAsia" w:ascii="宋体" w:hAnsi="宋体" w:eastAsia="宋体" w:cs="宋体"/>
                <w:color w:val="auto"/>
                <w:sz w:val="21"/>
                <w:szCs w:val="21"/>
              </w:rPr>
              <w:t>服务区域</w:t>
            </w:r>
            <w:r>
              <w:rPr>
                <w:rFonts w:hint="eastAsia" w:ascii="宋体" w:hAnsi="宋体" w:eastAsia="宋体" w:cs="宋体"/>
                <w:color w:val="auto"/>
                <w:sz w:val="21"/>
                <w:szCs w:val="21"/>
                <w:lang w:eastAsia="zh-CN"/>
              </w:rPr>
              <w:t>取得明显的</w:t>
            </w:r>
            <w:r>
              <w:rPr>
                <w:rFonts w:hint="eastAsia" w:ascii="宋体" w:hAnsi="宋体" w:eastAsia="宋体" w:cs="宋体"/>
                <w:color w:val="auto"/>
                <w:sz w:val="21"/>
                <w:szCs w:val="21"/>
              </w:rPr>
              <w:t>成效</w:t>
            </w:r>
            <w:r>
              <w:rPr>
                <w:rFonts w:hint="eastAsia" w:ascii="宋体" w:hAnsi="宋体" w:eastAsia="宋体" w:cs="宋体"/>
                <w:color w:val="auto"/>
                <w:sz w:val="21"/>
                <w:szCs w:val="21"/>
                <w:lang w:eastAsia="zh-CN"/>
              </w:rPr>
              <w:t>。</w:t>
            </w:r>
          </w:p>
          <w:p>
            <w:pPr>
              <w:widowControl/>
              <w:jc w:val="left"/>
              <w:rPr>
                <w:rFonts w:ascii="宋体" w:hAnsi="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635" w:type="dxa"/>
            <w:noWrap w:val="0"/>
            <w:vAlign w:val="center"/>
          </w:tcPr>
          <w:p>
            <w:pPr>
              <w:widowControl/>
              <w:jc w:val="center"/>
              <w:rPr>
                <w:rFonts w:hint="eastAsia" w:ascii="黑体" w:hAnsi="宋体" w:eastAsia="黑体" w:cs="宋体"/>
                <w:b/>
                <w:bCs/>
                <w:color w:val="auto"/>
                <w:kern w:val="0"/>
                <w:sz w:val="24"/>
              </w:rPr>
            </w:pPr>
            <w:r>
              <w:rPr>
                <w:rFonts w:hint="eastAsia" w:ascii="黑体" w:hAnsi="宋体" w:eastAsia="黑体" w:cs="宋体"/>
                <w:b w:val="0"/>
                <w:bCs w:val="0"/>
                <w:color w:val="auto"/>
                <w:kern w:val="0"/>
                <w:sz w:val="24"/>
              </w:rPr>
              <w:t>目标设置和年度财政收支的主要依据及说明</w:t>
            </w:r>
          </w:p>
        </w:tc>
        <w:tc>
          <w:tcPr>
            <w:tcW w:w="12780" w:type="dxa"/>
            <w:gridSpan w:val="7"/>
            <w:noWrap w:val="0"/>
            <w:vAlign w:val="center"/>
          </w:tcPr>
          <w:p>
            <w:pPr>
              <w:snapToGrid w:val="0"/>
              <w:spacing w:line="540" w:lineRule="exact"/>
              <w:ind w:firstLine="420" w:firstLineChars="200"/>
              <w:rPr>
                <w:rFonts w:hint="eastAsia" w:ascii="仿宋_GB2312" w:hAnsi="Times New Roman" w:eastAsia="仿宋_GB2312" w:cs="Times New Roman"/>
                <w:b w:val="0"/>
                <w:bCs w:val="0"/>
                <w:color w:val="auto"/>
                <w:kern w:val="2"/>
                <w:sz w:val="32"/>
                <w:szCs w:val="32"/>
                <w:lang w:val="en-US" w:eastAsia="zh-CN" w:bidi="ar-SA"/>
              </w:rPr>
            </w:pPr>
            <w:r>
              <w:rPr>
                <w:rFonts w:hint="eastAsia" w:ascii="宋体" w:hAnsi="宋体" w:eastAsia="宋体" w:cs="宋体"/>
                <w:b w:val="0"/>
                <w:bCs w:val="0"/>
                <w:color w:val="auto"/>
                <w:kern w:val="2"/>
                <w:sz w:val="21"/>
                <w:szCs w:val="21"/>
                <w:highlight w:val="none"/>
                <w:lang w:val="en-US" w:eastAsia="zh-CN" w:bidi="ar-SA"/>
              </w:rPr>
              <w:t>1.积极申报各类项目67项，获省国际合作技术研发与示范推广项目、中央财政林业推广项目等28项，争取各类项目经费1250余万元。2.主持参与获浙江省农业丰收奖、省科技兴林奖等各类科技奖项5项。授权发明专利9项、实用新型11专利项，审（认）定新品种4个和植物新品种权1个，编制各类标准8项。发表学术论文百余篇。</w:t>
            </w:r>
            <w:r>
              <w:rPr>
                <w:rFonts w:hint="eastAsia" w:ascii="宋体" w:hAnsi="宋体" w:cs="宋体"/>
                <w:b w:val="0"/>
                <w:bCs w:val="0"/>
                <w:color w:val="auto"/>
                <w:kern w:val="2"/>
                <w:sz w:val="21"/>
                <w:szCs w:val="21"/>
                <w:highlight w:val="none"/>
                <w:lang w:val="en-US" w:eastAsia="zh-CN" w:bidi="ar-SA"/>
              </w:rPr>
              <w:t>3.</w:t>
            </w:r>
            <w:r>
              <w:rPr>
                <w:rFonts w:hint="eastAsia" w:ascii="宋体" w:hAnsi="宋体" w:eastAsia="宋体" w:cs="宋体"/>
                <w:b w:val="0"/>
                <w:bCs w:val="0"/>
                <w:color w:val="auto"/>
                <w:kern w:val="2"/>
                <w:sz w:val="21"/>
                <w:szCs w:val="21"/>
                <w:lang w:val="en-US" w:eastAsia="zh-CN" w:bidi="ar-SA"/>
              </w:rPr>
              <w:t>开展茶叶、野菜、特色经济林良种等的种质资源调查，建立各类型种质资源保存及利用基地6个，收集种质资源196份，保存种质材料3000余份，鉴定评价种质1285份。4.开展豆类、特色红米、黑木耳品种等5个新创制种质进入十四五品种登记DUS测试。“丽猴3号”等3个品种参加2021年浙江省区试。多个育成品种累计推广2.68万亩。5.由我院承建的浙江省茶树种质资源圃于2021年9月建成开园，省茶树种质资源查询平台正式上线，平台收集保存茶树资源覆盖了国内16个主要产茶省和日本、印度等东南亚地区。6.全年合作共建各类示范基地80个7044亩，深入一线对接服务各类主体81家，开展“三服务”等科技下乡活动344次。组织或参与各类培训71场，培训3712人次，示范推广各类技术46项推广面积近10万亩.7.</w:t>
            </w:r>
            <w:r>
              <w:rPr>
                <w:rFonts w:hint="eastAsia" w:ascii="宋体" w:hAnsi="宋体" w:cs="宋体"/>
                <w:b w:val="0"/>
                <w:bCs w:val="0"/>
                <w:color w:val="auto"/>
                <w:kern w:val="2"/>
                <w:sz w:val="21"/>
                <w:szCs w:val="21"/>
                <w:lang w:val="en-US" w:eastAsia="zh-CN" w:bidi="ar-SA"/>
              </w:rPr>
              <w:t>服务市委市政府中心工作，</w:t>
            </w:r>
            <w:r>
              <w:rPr>
                <w:rFonts w:hint="eastAsia" w:ascii="宋体" w:hAnsi="宋体" w:eastAsia="宋体" w:cs="宋体"/>
                <w:b w:val="0"/>
                <w:bCs w:val="0"/>
                <w:color w:val="auto"/>
                <w:kern w:val="2"/>
                <w:sz w:val="21"/>
                <w:szCs w:val="21"/>
                <w:lang w:val="en-US" w:eastAsia="zh-CN" w:bidi="ar-SA"/>
              </w:rPr>
              <w:t>在市专班的统一部署下，我院牵头组织省市县专家75名，完成了全市797个项目种植利用可行性评估报告，评估耕地面积达5.94万亩，为问题整改规范科学和栽种管护提供了坚实的技术支撑。8.在各县（市、区）建设雾耕样板基地5个，引进投资资金超8000万。引进共建高能级创新平台——“中国农业科学院茶叶研究所长三角创新中心”。保质超量完成市委市政府交办的“招才引智”任务，引进高层次人才6名，合作培养博士后2名。</w:t>
            </w:r>
          </w:p>
          <w:p>
            <w:pPr>
              <w:widowControl/>
              <w:jc w:val="left"/>
              <w:rPr>
                <w:rFonts w:hint="default" w:ascii="宋体" w:hAnsi="宋体" w:eastAsia="宋体" w:cs="宋体"/>
                <w:color w:val="auto"/>
                <w:kern w:val="0"/>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35" w:type="dxa"/>
            <w:vMerge w:val="restart"/>
            <w:noWrap w:val="0"/>
            <w:vAlign w:val="center"/>
          </w:tcPr>
          <w:p>
            <w:pPr>
              <w:widowControl/>
              <w:jc w:val="center"/>
              <w:rPr>
                <w:rFonts w:ascii="黑体" w:hAnsi="宋体" w:eastAsia="黑体" w:cs="宋体"/>
                <w:b/>
                <w:bCs/>
                <w:color w:val="auto"/>
                <w:kern w:val="0"/>
                <w:sz w:val="24"/>
              </w:rPr>
            </w:pPr>
            <w:r>
              <w:rPr>
                <w:rFonts w:hint="eastAsia" w:ascii="黑体" w:hAnsi="宋体" w:eastAsia="黑体" w:cs="宋体"/>
                <w:b w:val="0"/>
                <w:bCs w:val="0"/>
                <w:color w:val="auto"/>
                <w:kern w:val="0"/>
                <w:sz w:val="24"/>
              </w:rPr>
              <w:t>本年度提供的公共产品或服务</w:t>
            </w:r>
          </w:p>
        </w:tc>
        <w:tc>
          <w:tcPr>
            <w:tcW w:w="2795" w:type="dxa"/>
            <w:gridSpan w:val="2"/>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服务名称</w:t>
            </w:r>
          </w:p>
        </w:tc>
        <w:tc>
          <w:tcPr>
            <w:tcW w:w="5110" w:type="dxa"/>
            <w:gridSpan w:val="3"/>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计  划</w:t>
            </w:r>
          </w:p>
        </w:tc>
        <w:tc>
          <w:tcPr>
            <w:tcW w:w="4875" w:type="dxa"/>
            <w:gridSpan w:val="2"/>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35" w:type="dxa"/>
            <w:vMerge w:val="continue"/>
            <w:noWrap w:val="0"/>
            <w:vAlign w:val="center"/>
          </w:tcPr>
          <w:p>
            <w:pPr>
              <w:widowControl/>
              <w:jc w:val="left"/>
              <w:rPr>
                <w:rFonts w:ascii="黑体" w:hAnsi="宋体" w:eastAsia="黑体" w:cs="宋体"/>
                <w:b/>
                <w:bCs/>
                <w:color w:val="auto"/>
                <w:kern w:val="0"/>
                <w:sz w:val="24"/>
              </w:rPr>
            </w:pPr>
          </w:p>
        </w:tc>
        <w:tc>
          <w:tcPr>
            <w:tcW w:w="2795" w:type="dxa"/>
            <w:gridSpan w:val="2"/>
            <w:noWrap w:val="0"/>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示范基地</w:t>
            </w:r>
          </w:p>
        </w:tc>
        <w:tc>
          <w:tcPr>
            <w:tcW w:w="5110" w:type="dxa"/>
            <w:gridSpan w:val="3"/>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80个，共计7000亩</w:t>
            </w:r>
          </w:p>
        </w:tc>
        <w:tc>
          <w:tcPr>
            <w:tcW w:w="4875" w:type="dxa"/>
            <w:gridSpan w:val="2"/>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80个，共计7044亩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635" w:type="dxa"/>
            <w:vMerge w:val="continue"/>
            <w:noWrap w:val="0"/>
            <w:vAlign w:val="center"/>
          </w:tcPr>
          <w:p>
            <w:pPr>
              <w:widowControl/>
              <w:jc w:val="left"/>
              <w:rPr>
                <w:rFonts w:ascii="黑体" w:hAnsi="宋体" w:eastAsia="黑体" w:cs="宋体"/>
                <w:b/>
                <w:bCs/>
                <w:color w:val="auto"/>
                <w:kern w:val="0"/>
                <w:sz w:val="24"/>
              </w:rPr>
            </w:pPr>
          </w:p>
        </w:tc>
        <w:tc>
          <w:tcPr>
            <w:tcW w:w="2795" w:type="dxa"/>
            <w:gridSpan w:val="2"/>
            <w:noWrap w:val="0"/>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科技下乡</w:t>
            </w:r>
          </w:p>
        </w:tc>
        <w:tc>
          <w:tcPr>
            <w:tcW w:w="5110" w:type="dxa"/>
            <w:gridSpan w:val="3"/>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300次</w:t>
            </w:r>
          </w:p>
        </w:tc>
        <w:tc>
          <w:tcPr>
            <w:tcW w:w="4875" w:type="dxa"/>
            <w:gridSpan w:val="2"/>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344次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noWrap w:val="0"/>
            <w:vAlign w:val="center"/>
          </w:tcPr>
          <w:p>
            <w:pPr>
              <w:widowControl/>
              <w:jc w:val="left"/>
              <w:rPr>
                <w:rFonts w:ascii="黑体" w:hAnsi="宋体" w:eastAsia="黑体" w:cs="宋体"/>
                <w:b/>
                <w:bCs/>
                <w:color w:val="auto"/>
                <w:kern w:val="0"/>
                <w:sz w:val="24"/>
              </w:rPr>
            </w:pPr>
          </w:p>
        </w:tc>
        <w:tc>
          <w:tcPr>
            <w:tcW w:w="2795" w:type="dxa"/>
            <w:gridSpan w:val="2"/>
            <w:noWrap w:val="0"/>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技术培训</w:t>
            </w:r>
          </w:p>
        </w:tc>
        <w:tc>
          <w:tcPr>
            <w:tcW w:w="5110" w:type="dxa"/>
            <w:gridSpan w:val="3"/>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50场次、3000余人次</w:t>
            </w:r>
          </w:p>
        </w:tc>
        <w:tc>
          <w:tcPr>
            <w:tcW w:w="4875" w:type="dxa"/>
            <w:gridSpan w:val="2"/>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71场、3712人次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35" w:type="dxa"/>
            <w:vMerge w:val="restart"/>
            <w:noWrap w:val="0"/>
            <w:vAlign w:val="center"/>
          </w:tcPr>
          <w:p>
            <w:pPr>
              <w:widowControl/>
              <w:jc w:val="center"/>
              <w:rPr>
                <w:rFonts w:hint="eastAsia" w:ascii="黑体" w:hAnsi="宋体" w:eastAsia="黑体" w:cs="宋体"/>
                <w:b w:val="0"/>
                <w:bCs w:val="0"/>
                <w:color w:val="auto"/>
                <w:kern w:val="0"/>
                <w:sz w:val="24"/>
              </w:rPr>
            </w:pPr>
            <w:r>
              <w:rPr>
                <w:rFonts w:hint="eastAsia" w:ascii="黑体" w:hAnsi="宋体" w:eastAsia="黑体" w:cs="宋体"/>
                <w:b w:val="0"/>
                <w:bCs w:val="0"/>
                <w:color w:val="auto"/>
                <w:kern w:val="0"/>
                <w:sz w:val="24"/>
              </w:rPr>
              <w:t>本年度取得的实际效益</w:t>
            </w:r>
          </w:p>
        </w:tc>
        <w:tc>
          <w:tcPr>
            <w:tcW w:w="2795" w:type="dxa"/>
            <w:gridSpan w:val="2"/>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效益名称</w:t>
            </w:r>
          </w:p>
        </w:tc>
        <w:tc>
          <w:tcPr>
            <w:tcW w:w="5110" w:type="dxa"/>
            <w:gridSpan w:val="3"/>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计  划</w:t>
            </w:r>
          </w:p>
        </w:tc>
        <w:tc>
          <w:tcPr>
            <w:tcW w:w="4875" w:type="dxa"/>
            <w:gridSpan w:val="2"/>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635" w:type="dxa"/>
            <w:vMerge w:val="continue"/>
            <w:noWrap w:val="0"/>
            <w:vAlign w:val="center"/>
          </w:tcPr>
          <w:p>
            <w:pPr>
              <w:widowControl/>
              <w:jc w:val="left"/>
              <w:rPr>
                <w:rFonts w:ascii="黑体" w:hAnsi="宋体" w:eastAsia="黑体" w:cs="宋体"/>
                <w:b w:val="0"/>
                <w:bCs w:val="0"/>
                <w:color w:val="auto"/>
                <w:kern w:val="0"/>
                <w:sz w:val="24"/>
              </w:rPr>
            </w:pPr>
          </w:p>
        </w:tc>
        <w:tc>
          <w:tcPr>
            <w:tcW w:w="2795" w:type="dxa"/>
            <w:gridSpan w:val="2"/>
            <w:noWrap w:val="0"/>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种资收集</w:t>
            </w:r>
          </w:p>
        </w:tc>
        <w:tc>
          <w:tcPr>
            <w:tcW w:w="5110" w:type="dxa"/>
            <w:gridSpan w:val="3"/>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150份</w:t>
            </w:r>
          </w:p>
        </w:tc>
        <w:tc>
          <w:tcPr>
            <w:tcW w:w="4875" w:type="dxa"/>
            <w:gridSpan w:val="2"/>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196份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635" w:type="dxa"/>
            <w:vMerge w:val="continue"/>
            <w:noWrap w:val="0"/>
            <w:vAlign w:val="center"/>
          </w:tcPr>
          <w:p>
            <w:pPr>
              <w:widowControl/>
              <w:jc w:val="left"/>
              <w:rPr>
                <w:rFonts w:ascii="黑体" w:hAnsi="宋体" w:eastAsia="黑体" w:cs="宋体"/>
                <w:b w:val="0"/>
                <w:bCs w:val="0"/>
                <w:color w:val="auto"/>
                <w:kern w:val="0"/>
                <w:sz w:val="24"/>
              </w:rPr>
            </w:pPr>
          </w:p>
        </w:tc>
        <w:tc>
          <w:tcPr>
            <w:tcW w:w="2795" w:type="dxa"/>
            <w:gridSpan w:val="2"/>
            <w:noWrap w:val="0"/>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专利</w:t>
            </w:r>
          </w:p>
        </w:tc>
        <w:tc>
          <w:tcPr>
            <w:tcW w:w="5110" w:type="dxa"/>
            <w:gridSpan w:val="3"/>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15个</w:t>
            </w:r>
          </w:p>
        </w:tc>
        <w:tc>
          <w:tcPr>
            <w:tcW w:w="4875" w:type="dxa"/>
            <w:gridSpan w:val="2"/>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635" w:type="dxa"/>
            <w:vMerge w:val="continue"/>
            <w:noWrap w:val="0"/>
            <w:vAlign w:val="center"/>
          </w:tcPr>
          <w:p>
            <w:pPr>
              <w:widowControl/>
              <w:jc w:val="left"/>
              <w:rPr>
                <w:rFonts w:ascii="黑体" w:hAnsi="宋体" w:eastAsia="黑体" w:cs="宋体"/>
                <w:b w:val="0"/>
                <w:bCs w:val="0"/>
                <w:color w:val="auto"/>
                <w:kern w:val="0"/>
                <w:sz w:val="24"/>
              </w:rPr>
            </w:pPr>
          </w:p>
        </w:tc>
        <w:tc>
          <w:tcPr>
            <w:tcW w:w="2795" w:type="dxa"/>
            <w:gridSpan w:val="2"/>
            <w:noWrap w:val="0"/>
            <w:vAlign w:val="center"/>
          </w:tcPr>
          <w:p>
            <w:pPr>
              <w:widowControl/>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品种认定</w:t>
            </w:r>
          </w:p>
        </w:tc>
        <w:tc>
          <w:tcPr>
            <w:tcW w:w="5110" w:type="dxa"/>
            <w:gridSpan w:val="3"/>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5个</w:t>
            </w:r>
          </w:p>
        </w:tc>
        <w:tc>
          <w:tcPr>
            <w:tcW w:w="4875" w:type="dxa"/>
            <w:gridSpan w:val="2"/>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635" w:type="dxa"/>
            <w:noWrap w:val="0"/>
            <w:vAlign w:val="center"/>
          </w:tcPr>
          <w:p>
            <w:pPr>
              <w:widowControl/>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服务对象（受益者及相关群体）满意度</w:t>
            </w:r>
          </w:p>
        </w:tc>
        <w:tc>
          <w:tcPr>
            <w:tcW w:w="12780" w:type="dxa"/>
            <w:gridSpan w:val="7"/>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满意</w:t>
            </w:r>
          </w:p>
        </w:tc>
      </w:tr>
    </w:tbl>
    <w:p/>
    <w:p/>
    <w:sectPr>
      <w:pgSz w:w="16838" w:h="11906" w:orient="landscape"/>
      <w:pgMar w:top="1797" w:right="1440" w:bottom="1797" w:left="1440"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F74C1"/>
    <w:rsid w:val="06F0067F"/>
    <w:rsid w:val="06FF74C1"/>
    <w:rsid w:val="0A2B6050"/>
    <w:rsid w:val="0A95604A"/>
    <w:rsid w:val="0FFAC3C0"/>
    <w:rsid w:val="20CC78F9"/>
    <w:rsid w:val="228776E2"/>
    <w:rsid w:val="2AD36192"/>
    <w:rsid w:val="32957591"/>
    <w:rsid w:val="338C08A4"/>
    <w:rsid w:val="36AB52F5"/>
    <w:rsid w:val="3BBB4F6C"/>
    <w:rsid w:val="444C6110"/>
    <w:rsid w:val="4CF7144B"/>
    <w:rsid w:val="56BD476B"/>
    <w:rsid w:val="79A443A5"/>
    <w:rsid w:val="7F5E6C6D"/>
    <w:rsid w:val="F7FCF211"/>
    <w:rsid w:val="FA1F0485"/>
    <w:rsid w:val="FF75B77E"/>
    <w:rsid w:val="FFBFB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spacing w:after="120"/>
      <w:ind w:left="420" w:leftChars="200" w:firstLine="420"/>
      <w:jc w:val="left"/>
    </w:pPr>
    <w:rPr>
      <w:rFonts w:ascii="宋体" w:hAnsi="宋体" w:eastAsia="宋体" w:cs="宋体"/>
      <w:sz w:val="24"/>
      <w:szCs w:val="24"/>
    </w:rPr>
  </w:style>
  <w:style w:type="paragraph" w:styleId="3">
    <w:name w:val="Body Text Indent"/>
    <w:basedOn w:val="1"/>
    <w:qFormat/>
    <w:uiPriority w:val="0"/>
    <w:pPr>
      <w:widowControl w:val="0"/>
      <w:ind w:firstLine="200" w:firstLineChars="200"/>
      <w:jc w:val="both"/>
    </w:pPr>
    <w:rPr>
      <w:rFonts w:ascii="仿宋_GB2312" w:hAnsi="Calibri" w:eastAsia="仿宋_GB2312" w:cs="Times New Roman"/>
      <w:sz w:val="30"/>
      <w:szCs w:val="20"/>
    </w:rPr>
  </w:style>
  <w:style w:type="paragraph" w:styleId="4">
    <w:name w:val="Body Text"/>
    <w:basedOn w:val="1"/>
    <w:next w:val="5"/>
    <w:qFormat/>
    <w:uiPriority w:val="0"/>
    <w:pPr>
      <w:jc w:val="center"/>
    </w:pPr>
    <w:rPr>
      <w:b/>
      <w:bCs/>
      <w:sz w:val="44"/>
    </w:rPr>
  </w:style>
  <w:style w:type="paragraph" w:styleId="5">
    <w:name w:val="Body Text First Indent"/>
    <w:basedOn w:val="4"/>
    <w:next w:val="1"/>
    <w:qFormat/>
    <w:uiPriority w:val="0"/>
    <w:pPr>
      <w:widowControl w:val="0"/>
      <w:spacing w:after="120" w:afterLines="0" w:afterAutospacing="0"/>
      <w:ind w:firstLine="420" w:firstLineChars="1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2022-05-07T10:40:00Z</dcterms:created>
  <dc:creator>徐红珍</dc:creator>
  <cp:lastModifiedBy>unis</cp:lastModifiedBy>
  <dcterms:modified xsi:type="dcterms:W3CDTF">2022-08-22T10:12:33Z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